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sz w:val="28"/>
          <w:szCs w:val="28"/>
        </w:rPr>
      </w:pPr>
      <w:r>
        <w:rPr>
          <w:rFonts w:hint="eastAsia"/>
          <w:b/>
          <w:sz w:val="28"/>
          <w:szCs w:val="28"/>
        </w:rPr>
        <w:t>附表</w:t>
      </w:r>
      <w:r>
        <w:rPr>
          <w:rFonts w:ascii="Times New Roman" w:hAnsi="Times New Roman" w:cs="Times New Roman"/>
          <w:b/>
          <w:sz w:val="28"/>
          <w:szCs w:val="28"/>
        </w:rPr>
        <w:t>3</w:t>
      </w:r>
      <w:r>
        <w:rPr>
          <w:rFonts w:hint="eastAsia"/>
          <w:b/>
          <w:sz w:val="28"/>
          <w:szCs w:val="28"/>
        </w:rPr>
        <w:t xml:space="preserve">  沈阳市公共建筑绿色建筑施工图审查要点评定表三（控制项）</w:t>
      </w:r>
    </w:p>
    <w:tbl>
      <w:tblPr>
        <w:tblStyle w:val="6"/>
        <w:tblW w:w="13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817"/>
        <w:gridCol w:w="1380"/>
        <w:gridCol w:w="5235"/>
        <w:gridCol w:w="168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40" w:hRule="atLeast"/>
        </w:trPr>
        <w:tc>
          <w:tcPr>
            <w:tcW w:w="381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条文</w:t>
            </w:r>
          </w:p>
        </w:tc>
        <w:tc>
          <w:tcPr>
            <w:tcW w:w="13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自评达标情况</w:t>
            </w:r>
          </w:p>
        </w:tc>
        <w:tc>
          <w:tcPr>
            <w:tcW w:w="523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自评材料</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审查评定意见</w:t>
            </w:r>
          </w:p>
        </w:tc>
        <w:tc>
          <w:tcPr>
            <w:tcW w:w="109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trPr>
        <w:tc>
          <w:tcPr>
            <w:tcW w:w="3817" w:type="dxa"/>
            <w:vMerge w:val="continue"/>
            <w:shd w:val="clear" w:color="auto" w:fill="auto"/>
            <w:vAlign w:val="center"/>
          </w:tcPr>
          <w:p>
            <w:pPr>
              <w:jc w:val="center"/>
              <w:rPr>
                <w:rFonts w:hint="eastAsia" w:ascii="宋体" w:hAnsi="宋体" w:eastAsia="宋体" w:cs="宋体"/>
                <w:i w:val="0"/>
                <w:color w:val="000000"/>
                <w:sz w:val="21"/>
                <w:szCs w:val="21"/>
                <w:u w:val="none"/>
              </w:rPr>
            </w:pPr>
          </w:p>
        </w:tc>
        <w:tc>
          <w:tcPr>
            <w:tcW w:w="13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vMerge w:val="continue"/>
            <w:shd w:val="clear" w:color="auto" w:fill="auto"/>
            <w:vAlign w:val="center"/>
          </w:tcPr>
          <w:p>
            <w:pPr>
              <w:jc w:val="center"/>
              <w:rPr>
                <w:rFonts w:hint="eastAsia" w:ascii="宋体" w:hAnsi="宋体" w:eastAsia="宋体" w:cs="宋体"/>
                <w:i w:val="0"/>
                <w:color w:val="000000"/>
                <w:sz w:val="21"/>
                <w:szCs w:val="21"/>
                <w:u w:val="none"/>
              </w:rPr>
            </w:pPr>
          </w:p>
        </w:tc>
        <w:tc>
          <w:tcPr>
            <w:tcW w:w="168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vMerge w:val="continue"/>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2" w:hRule="atLeast"/>
        </w:trPr>
        <w:tc>
          <w:tcPr>
            <w:tcW w:w="38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建筑专业</w:t>
            </w:r>
          </w:p>
        </w:tc>
        <w:tc>
          <w:tcPr>
            <w:tcW w:w="1380" w:type="dxa"/>
            <w:shd w:val="clear" w:color="auto" w:fill="auto"/>
            <w:vAlign w:val="center"/>
          </w:tcPr>
          <w:p>
            <w:pPr>
              <w:jc w:val="center"/>
              <w:rPr>
                <w:rFonts w:hint="eastAsia" w:ascii="Calibri" w:hAnsi="Calibri" w:eastAsia="宋体" w:cs="Calibri"/>
                <w:i w:val="0"/>
                <w:color w:val="000000"/>
                <w:sz w:val="21"/>
                <w:szCs w:val="21"/>
                <w:u w:val="none"/>
              </w:rPr>
            </w:pPr>
          </w:p>
        </w:tc>
        <w:tc>
          <w:tcPr>
            <w:tcW w:w="5235" w:type="dxa"/>
            <w:shd w:val="clear" w:color="auto" w:fill="auto"/>
            <w:vAlign w:val="center"/>
          </w:tcPr>
          <w:p>
            <w:pPr>
              <w:jc w:val="both"/>
              <w:rPr>
                <w:rFonts w:hint="default" w:ascii="Calibri" w:hAnsi="Calibri" w:eastAsia="宋体" w:cs="Calibri"/>
                <w:i w:val="0"/>
                <w:color w:val="000000"/>
                <w:sz w:val="21"/>
                <w:szCs w:val="21"/>
                <w:u w:val="none"/>
              </w:rPr>
            </w:pPr>
          </w:p>
        </w:tc>
        <w:tc>
          <w:tcPr>
            <w:tcW w:w="1680" w:type="dxa"/>
            <w:shd w:val="clear" w:color="auto" w:fill="auto"/>
            <w:vAlign w:val="center"/>
          </w:tcPr>
          <w:p>
            <w:pPr>
              <w:jc w:val="both"/>
              <w:rPr>
                <w:rFonts w:hint="default" w:ascii="Calibri" w:hAnsi="Calibri" w:eastAsia="宋体" w:cs="Calibri"/>
                <w:i w:val="0"/>
                <w:color w:val="000000"/>
                <w:sz w:val="21"/>
                <w:szCs w:val="21"/>
                <w:u w:val="none"/>
              </w:rPr>
            </w:pPr>
          </w:p>
        </w:tc>
        <w:tc>
          <w:tcPr>
            <w:tcW w:w="1095" w:type="dxa"/>
            <w:shd w:val="clear" w:color="auto" w:fill="auto"/>
            <w:vAlign w:val="center"/>
          </w:tcPr>
          <w:p>
            <w:pPr>
              <w:jc w:val="center"/>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89"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1、项目选址应符合沈阳市城乡规划，且应符合各类保护区、文物古迹保护的建设控制要求。</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场地内是否有以下各类保护区:</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□基本农田保护区、□风景名胜区、□自然保护区、□历史文化名城名镇名村、□历史文化街区、□其他保护区、□以上皆无。</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场地内是否有以下各类文物古迹：</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□文物保护单位、□保护建筑、□历史建筑、□以上皆无。</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简要说明项目选址的建设用地属性以及场地内地形、资源情况：</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79"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 场地应无洪涝、滑坡、泥石流等自然灾害的威胁，无危险化学品、易燃易爆危险源的威胁，无电磁辐射、含氡土壤等危害。</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场地选址附近是否有以下威胁或者危险源：</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洪灾、□泥石流、□含氡土壤、□风切变、□抗震不利地段(如地震断裂带、易液化土、人工填土等)、□电磁辐射（如电视广播发射塔、雷达站、通信发射台、变电站、高压电线等）、□火、爆、有毒物质等（如油库、煤气站、有毒物质车间等）、□以上皆无</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简要说明避免以上威胁或危险源的措施：</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27"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3、场地内不应有排放超标的污染源。</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场地内有以下建筑或设施：</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□运动和营业场所、□餐饮厨房、□锅炉房、□垃圾运转站、□其他易产生烟、气、尘、噪声的建筑或设施（请填写）、□以上皆无</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如有，是否超标排放：□是、□否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如有以上建筑或设施，简要说明避免排放超标的控制措施：</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76"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w:t>
            </w:r>
            <w:r>
              <w:rPr>
                <w:rFonts w:hint="default" w:ascii="Calibri" w:hAnsi="Calibri" w:eastAsia="宋体" w:cs="Calibri"/>
                <w:b/>
                <w:i w:val="0"/>
                <w:color w:val="000000"/>
                <w:kern w:val="0"/>
                <w:sz w:val="21"/>
                <w:szCs w:val="21"/>
                <w:u w:val="none"/>
                <w:lang w:val="en-US" w:eastAsia="zh-CN" w:bidi="ar"/>
              </w:rPr>
              <w:t>建筑设计应符合国家及辽宁省现行相关建筑节能设计标准中强制性条文的规定。</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5"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5、不得采用国家、辽宁省和沈阳市禁止和限制使用的建筑材料及制品。</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90"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6、建筑造型要素应简约，且无大量装饰性构件。</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本项目是否使用了装饰性构件：□是、□否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装饰性构件的造价是否低于总造价的千分之五：□是、□否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0"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7、主要功能房间的室内噪声级应满足现行国家标准《民用建筑隔声设计规范》GB 50118中的低限要求。</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主要功能房间的室内噪声级应满足现行国家标准《民用建筑隔声设计规范》GB 50118中的低限要求，□是、□否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0"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8、主要功能房间的外墙、隔墙、楼板和门窗的隔声性能应满足现行国家标准《民用建筑隔声设计规范》GB 50118中的低限要求。</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主要功能房间的外墙、隔墙、楼板和门窗的隔声性能满足现行国家标准《民用建筑隔声设计规范》GB50118中的低限要求：□是、□否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5" w:hRule="atLeast"/>
        </w:trPr>
        <w:tc>
          <w:tcPr>
            <w:tcW w:w="3817"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3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5235"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自评材料</w:t>
            </w:r>
          </w:p>
        </w:tc>
        <w:tc>
          <w:tcPr>
            <w:tcW w:w="16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10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0" w:hRule="atLeast"/>
        </w:trPr>
        <w:tc>
          <w:tcPr>
            <w:tcW w:w="3817" w:type="dxa"/>
            <w:vMerge w:val="continue"/>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宋体" w:hAnsi="宋体" w:eastAsia="宋体" w:cs="宋体"/>
                <w:b/>
                <w:i w:val="0"/>
                <w:color w:val="000000"/>
                <w:kern w:val="0"/>
                <w:sz w:val="21"/>
                <w:szCs w:val="21"/>
                <w:u w:val="none"/>
                <w:lang w:val="en-US" w:eastAsia="zh-CN" w:bidi="ar"/>
              </w:rPr>
            </w:pPr>
          </w:p>
        </w:tc>
        <w:tc>
          <w:tcPr>
            <w:tcW w:w="13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w:t>
            </w:r>
          </w:p>
        </w:tc>
        <w:tc>
          <w:tcPr>
            <w:tcW w:w="5235" w:type="dxa"/>
            <w:vMerge w:val="continue"/>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宋体" w:hAnsi="宋体" w:eastAsia="宋体" w:cs="宋体"/>
                <w:i w:val="0"/>
                <w:color w:val="000000"/>
                <w:kern w:val="0"/>
                <w:sz w:val="21"/>
                <w:szCs w:val="21"/>
                <w:u w:val="none"/>
                <w:lang w:val="en-US" w:eastAsia="zh-CN" w:bidi="ar"/>
              </w:rPr>
            </w:pPr>
          </w:p>
        </w:tc>
        <w:tc>
          <w:tcPr>
            <w:tcW w:w="16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109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85"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9、在室内设计温、湿度条件下，建筑围护结构内表面不得结露。</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结构专业</w:t>
            </w:r>
          </w:p>
        </w:tc>
        <w:tc>
          <w:tcPr>
            <w:tcW w:w="13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Calibri" w:hAnsi="Calibri" w:eastAsia="宋体" w:cs="Calibri"/>
                <w:i w:val="0"/>
                <w:color w:val="000000"/>
                <w:sz w:val="21"/>
                <w:szCs w:val="21"/>
                <w:u w:val="single"/>
              </w:rPr>
            </w:pPr>
          </w:p>
        </w:tc>
        <w:tc>
          <w:tcPr>
            <w:tcW w:w="52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default" w:ascii="Calibri" w:hAnsi="Calibri" w:eastAsia="宋体" w:cs="Calibri"/>
                <w:i w:val="0"/>
                <w:color w:val="000000"/>
                <w:sz w:val="21"/>
                <w:szCs w:val="21"/>
                <w:u w:val="none"/>
              </w:rPr>
            </w:pPr>
          </w:p>
        </w:tc>
        <w:tc>
          <w:tcPr>
            <w:tcW w:w="1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default" w:ascii="Calibri" w:hAnsi="Calibri" w:eastAsia="宋体" w:cs="Calibri"/>
                <w:i w:val="0"/>
                <w:color w:val="000000"/>
                <w:sz w:val="21"/>
                <w:szCs w:val="21"/>
                <w:u w:val="single"/>
              </w:rPr>
            </w:pP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0"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1、不得采用国家、辽宁省和沈阳市禁止和限制使用的建筑材料及制品。</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90"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2、混凝土结构中梁、柱纵向受力普通钢筋应采用不低于400MPa级的热轧带肋钢筋。</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混凝土梁纵向受力普通钢筋全部采用不低于400MPa级的热轧带肋钢筋：□是、□否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混凝土柱纵向受力普通钢筋全部采用不低于400MPa级的热轧带肋钢筋：□是、□否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给排水专业</w:t>
            </w:r>
          </w:p>
        </w:tc>
        <w:tc>
          <w:tcPr>
            <w:tcW w:w="13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Calibri" w:hAnsi="Calibri" w:eastAsia="宋体" w:cs="Calibri"/>
                <w:i w:val="0"/>
                <w:color w:val="000000"/>
                <w:sz w:val="21"/>
                <w:szCs w:val="21"/>
                <w:u w:val="single"/>
              </w:rPr>
            </w:pPr>
          </w:p>
        </w:tc>
        <w:tc>
          <w:tcPr>
            <w:tcW w:w="52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default" w:ascii="Calibri" w:hAnsi="Calibri" w:eastAsia="宋体" w:cs="Calibri"/>
                <w:i w:val="0"/>
                <w:color w:val="000000"/>
                <w:sz w:val="21"/>
                <w:szCs w:val="21"/>
                <w:u w:val="none"/>
              </w:rPr>
            </w:pPr>
          </w:p>
        </w:tc>
        <w:tc>
          <w:tcPr>
            <w:tcW w:w="1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default" w:ascii="Calibri" w:hAnsi="Calibri" w:eastAsia="宋体" w:cs="Calibri"/>
                <w:i w:val="0"/>
                <w:color w:val="000000"/>
                <w:sz w:val="21"/>
                <w:szCs w:val="21"/>
                <w:u w:val="single"/>
              </w:rPr>
            </w:pP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01" w:hRule="atLeast"/>
        </w:trPr>
        <w:tc>
          <w:tcPr>
            <w:tcW w:w="38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1、应制定水资源利用方案，统筹利用各种水资源。</w:t>
            </w:r>
          </w:p>
        </w:tc>
        <w:tc>
          <w:tcPr>
            <w:tcW w:w="13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vMerge w:val="restar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简要说明水系统规划设计方案，包括用水定额的确定、用水量估算及水量平衡、给排水系统设计方案、节水器具和设备的选用、非传统水源利用、用水分项计量等：</w:t>
            </w:r>
          </w:p>
        </w:tc>
        <w:tc>
          <w:tcPr>
            <w:tcW w:w="16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38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b/>
                <w:i w:val="0"/>
                <w:color w:val="000000"/>
                <w:sz w:val="21"/>
                <w:szCs w:val="21"/>
                <w:u w:val="none"/>
              </w:rPr>
            </w:pPr>
          </w:p>
        </w:tc>
        <w:tc>
          <w:tcPr>
            <w:tcW w:w="13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c>
          <w:tcPr>
            <w:tcW w:w="52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0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2"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2、给排水系统设置应合理、完善、安全。</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给排水系统的规划设计符合相关标准的规定：□是、□否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供水充分利用用市政压力，加压系统选用节能高效的设备：□是、□否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给水系统分区合理，每区供水压力不大于0.45MPa：□是、□否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合理采取减压限流的节水措施：□是、□否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给水水质达到国家、行业或地方标准的要求：□是、□否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使用非传统水源时，采取用水安全保障措施：□是、□否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各类不同水质要求的给水管线有明显的管道标识：□是、□否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设置完善的污水收集、处理和排放等设施：□是、□否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如周边有雨水排水系统，室外排水应雨、污分流，□是、□否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采取有效措施避免管道、阀门和设备的漏水、渗水或结露：□是、□否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有热水使用需求时，热水系统设置合理：□是、□否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65"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3、应采用节水器具。卫生器具和设备满足《节水型生活用水器具》CJ/T164及《节水型产品通用技术条件》GB/T18870的要求。</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主要器具类型有：□龙头、□大便器、□小便器、□淋浴器、□其他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采用节水器具：□是、□否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10"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4、场地内不应有排放超标的污染源。</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污废水排放满足市政及环保要求，□是、□否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7"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暖通专业</w:t>
            </w:r>
          </w:p>
        </w:tc>
        <w:tc>
          <w:tcPr>
            <w:tcW w:w="13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Calibri" w:hAnsi="Calibri" w:eastAsia="宋体" w:cs="Calibri"/>
                <w:i w:val="0"/>
                <w:color w:val="000000"/>
                <w:sz w:val="21"/>
                <w:szCs w:val="21"/>
                <w:u w:val="single"/>
              </w:rPr>
            </w:pPr>
          </w:p>
        </w:tc>
        <w:tc>
          <w:tcPr>
            <w:tcW w:w="52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default" w:ascii="Calibri" w:hAnsi="Calibri" w:eastAsia="宋体" w:cs="Calibri"/>
                <w:i w:val="0"/>
                <w:color w:val="000000"/>
                <w:sz w:val="21"/>
                <w:szCs w:val="21"/>
                <w:u w:val="none"/>
              </w:rPr>
            </w:pPr>
          </w:p>
        </w:tc>
        <w:tc>
          <w:tcPr>
            <w:tcW w:w="1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default" w:ascii="Calibri" w:hAnsi="Calibri" w:eastAsia="宋体" w:cs="Calibri"/>
                <w:i w:val="0"/>
                <w:color w:val="000000"/>
                <w:sz w:val="21"/>
                <w:szCs w:val="21"/>
                <w:u w:val="single"/>
              </w:rPr>
            </w:pP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85"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1、场地内不应有排放超标的污染源。</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是否有废气排放，□是、□否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废气达标排放，□是、□否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25"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r>
              <w:rPr>
                <w:rFonts w:hint="default" w:ascii="Calibri" w:hAnsi="Calibri" w:eastAsia="宋体" w:cs="Calibri"/>
                <w:b/>
                <w:i w:val="0"/>
                <w:color w:val="000000"/>
                <w:kern w:val="0"/>
                <w:sz w:val="21"/>
                <w:szCs w:val="21"/>
                <w:u w:val="none"/>
                <w:lang w:val="en-US" w:eastAsia="zh-CN" w:bidi="ar"/>
              </w:rPr>
              <w:t>建筑设计应符合国家及辽宁省现行相关建筑节能设计标准中强制性条文的规定。</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5" w:hRule="atLeast"/>
        </w:trPr>
        <w:tc>
          <w:tcPr>
            <w:tcW w:w="3817"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3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5235"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自评材料</w:t>
            </w:r>
          </w:p>
        </w:tc>
        <w:tc>
          <w:tcPr>
            <w:tcW w:w="16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1095" w:type="dxa"/>
            <w:vMerge w:val="restart"/>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5" w:hRule="atLeast"/>
        </w:trPr>
        <w:tc>
          <w:tcPr>
            <w:tcW w:w="3817" w:type="dxa"/>
            <w:vMerge w:val="continue"/>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宋体" w:hAnsi="宋体" w:eastAsia="宋体" w:cs="宋体"/>
                <w:b/>
                <w:i w:val="0"/>
                <w:color w:val="000000"/>
                <w:kern w:val="0"/>
                <w:sz w:val="21"/>
                <w:szCs w:val="21"/>
                <w:u w:val="none"/>
                <w:lang w:val="en-US" w:eastAsia="zh-CN" w:bidi="ar"/>
              </w:rPr>
            </w:pPr>
          </w:p>
        </w:tc>
        <w:tc>
          <w:tcPr>
            <w:tcW w:w="13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w:t>
            </w:r>
          </w:p>
        </w:tc>
        <w:tc>
          <w:tcPr>
            <w:tcW w:w="5235" w:type="dxa"/>
            <w:vMerge w:val="continue"/>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宋体" w:hAnsi="宋体" w:eastAsia="宋体" w:cs="宋体"/>
                <w:i w:val="0"/>
                <w:color w:val="000000"/>
                <w:kern w:val="0"/>
                <w:sz w:val="21"/>
                <w:szCs w:val="21"/>
                <w:u w:val="none"/>
                <w:lang w:val="en-US" w:eastAsia="zh-CN" w:bidi="ar"/>
              </w:rPr>
            </w:pPr>
          </w:p>
        </w:tc>
        <w:tc>
          <w:tcPr>
            <w:tcW w:w="16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1095" w:type="dxa"/>
            <w:vMerge w:val="continue"/>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43"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3、除特殊情况外，不应采用电直接加热设备作为供暖空调系统的供暖热源和空气加湿热源。</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供暖空调系统的热源：是否采用电直接加热设备：□是、□否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空气加湿热源：是否采用电直接加热设备：□是、□否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特殊情况下采用电直接加热设备原因：</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5"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4、冷热源、输配系统等各部分能耗应进行独立分项计量。</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锅炉房、换热站、制冷机房等各项能量计量：□是、□否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95"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5、主要功能房间的室内噪声级应满足现行国家标准《民用建筑隔声设计规范》GB 50118中的低限要求。</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风机、水泵等有较大振动和噪声的设备采用消声减振措施，□是、□否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05"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6、采用集中供暖空调系统的建筑，房间内的温度、湿度、新风量等设计参数应符合现行国家标准《民用建筑供暖通风与空气调节设计规范》GB 50736的规定。</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7"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电气专业</w:t>
            </w:r>
          </w:p>
        </w:tc>
        <w:tc>
          <w:tcPr>
            <w:tcW w:w="13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c>
          <w:tcPr>
            <w:tcW w:w="52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default" w:ascii="Calibri" w:hAnsi="Calibri" w:eastAsia="宋体" w:cs="Calibri"/>
                <w:i w:val="0"/>
                <w:color w:val="000000"/>
                <w:sz w:val="21"/>
                <w:szCs w:val="21"/>
                <w:u w:val="none"/>
              </w:rPr>
            </w:pPr>
          </w:p>
        </w:tc>
        <w:tc>
          <w:tcPr>
            <w:tcW w:w="1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0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02"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1、冷热源、输配系统和照明等各部分能耗应进行独立分项计量。</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对以下各部分能耗实行独立分项计量：</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□空调冷热源、□输配系统、□照明插座、□动力、□特殊用电、□其他</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0" w:hRule="atLeast"/>
        </w:trPr>
        <w:tc>
          <w:tcPr>
            <w:tcW w:w="38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2、各房间或场所的照明功率密度值不应高于现行国家标准《建筑照明设计标准》GB 50034中规定的现行值。</w:t>
            </w:r>
          </w:p>
        </w:tc>
        <w:tc>
          <w:tcPr>
            <w:tcW w:w="13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2" w:hRule="atLeast"/>
        </w:trPr>
        <w:tc>
          <w:tcPr>
            <w:tcW w:w="38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b/>
                <w:i w:val="0"/>
                <w:color w:val="000000"/>
                <w:sz w:val="21"/>
                <w:szCs w:val="21"/>
                <w:u w:val="none"/>
              </w:rPr>
            </w:pPr>
          </w:p>
        </w:tc>
        <w:tc>
          <w:tcPr>
            <w:tcW w:w="13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c>
          <w:tcPr>
            <w:tcW w:w="52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outlineLvl w:val="9"/>
              <w:rPr>
                <w:rFonts w:hint="eastAsia" w:ascii="宋体" w:hAnsi="宋体" w:eastAsia="宋体" w:cs="宋体"/>
                <w:i w:val="0"/>
                <w:color w:val="000000"/>
                <w:sz w:val="21"/>
                <w:szCs w:val="21"/>
                <w:u w:val="none"/>
              </w:rPr>
            </w:pPr>
          </w:p>
        </w:tc>
        <w:tc>
          <w:tcPr>
            <w:tcW w:w="16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1"/>
                <w:szCs w:val="21"/>
                <w:u w:val="none"/>
              </w:rPr>
            </w:pPr>
          </w:p>
        </w:tc>
        <w:tc>
          <w:tcPr>
            <w:tcW w:w="10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20" w:hRule="atLeast"/>
        </w:trPr>
        <w:tc>
          <w:tcPr>
            <w:tcW w:w="38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3、建筑照明数量和质量应符合现行国家标准《建筑照明设计标准》GB 50034的规定。</w:t>
            </w:r>
          </w:p>
        </w:tc>
        <w:tc>
          <w:tcPr>
            <w:tcW w:w="13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2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6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1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w:t>
            </w:r>
          </w:p>
        </w:tc>
      </w:tr>
    </w:tbl>
    <w:p>
      <w:pPr>
        <w:adjustRightInd w:val="0"/>
        <w:snapToGrid w:val="0"/>
        <w:rPr>
          <w:rFonts w:hint="eastAsia"/>
          <w:szCs w:val="21"/>
        </w:rPr>
      </w:pPr>
    </w:p>
    <w:p>
      <w:pPr>
        <w:adjustRightInd w:val="0"/>
        <w:snapToGrid w:val="0"/>
        <w:rPr>
          <w:szCs w:val="21"/>
        </w:rPr>
      </w:pPr>
      <w:bookmarkStart w:id="0" w:name="_GoBack"/>
      <w:bookmarkEnd w:id="0"/>
      <w:r>
        <w:rPr>
          <w:rFonts w:hint="eastAsia"/>
          <w:szCs w:val="21"/>
        </w:rPr>
        <w:t>注：控制项均需满足。</w:t>
      </w:r>
    </w:p>
    <w:p>
      <w:pPr>
        <w:ind w:left="8400" w:leftChars="4000"/>
        <w:rPr>
          <w:szCs w:val="21"/>
        </w:rPr>
      </w:pPr>
    </w:p>
    <w:p>
      <w:pPr>
        <w:ind w:left="8400" w:leftChars="4000"/>
        <w:rPr>
          <w:szCs w:val="21"/>
        </w:rPr>
      </w:pPr>
    </w:p>
    <w:p>
      <w:pPr>
        <w:ind w:left="8400" w:leftChars="4000"/>
        <w:rPr>
          <w:szCs w:val="21"/>
        </w:rPr>
      </w:pPr>
      <w:r>
        <w:rPr>
          <w:rFonts w:hint="eastAsia"/>
          <w:szCs w:val="21"/>
        </w:rPr>
        <w:t>编制：  　      　校对：          　审核：  　  　 　</w:t>
      </w:r>
    </w:p>
    <w:p>
      <w:pPr>
        <w:ind w:left="8400" w:leftChars="4000"/>
        <w:rPr>
          <w:szCs w:val="21"/>
        </w:rPr>
      </w:pPr>
    </w:p>
    <w:p>
      <w:pPr>
        <w:ind w:left="8400" w:leftChars="4000"/>
        <w:rPr>
          <w:szCs w:val="21"/>
        </w:rPr>
      </w:pPr>
    </w:p>
    <w:p>
      <w:pPr>
        <w:ind w:left="8400" w:leftChars="4000"/>
        <w:rPr>
          <w:szCs w:val="21"/>
        </w:rPr>
      </w:pPr>
    </w:p>
    <w:p>
      <w:pPr>
        <w:tabs>
          <w:tab w:val="center" w:pos="6592"/>
        </w:tabs>
        <w:ind w:left="8400" w:leftChars="4000"/>
        <w:rPr>
          <w:szCs w:val="21"/>
        </w:rPr>
      </w:pPr>
      <w:r>
        <w:rPr>
          <w:rFonts w:hint="eastAsia"/>
          <w:szCs w:val="21"/>
        </w:rPr>
        <w:t xml:space="preserve">单位（盖章）：  </w:t>
      </w:r>
      <w:r>
        <w:rPr>
          <w:rFonts w:hint="eastAsia"/>
          <w:szCs w:val="21"/>
          <w:lang w:eastAsia="zh-CN"/>
        </w:rPr>
        <w:tab/>
      </w:r>
    </w:p>
    <w:p>
      <w:pPr>
        <w:ind w:left="8400" w:leftChars="4000"/>
        <w:rPr>
          <w:szCs w:val="21"/>
        </w:rPr>
      </w:pPr>
    </w:p>
    <w:p>
      <w:pPr>
        <w:ind w:left="8400" w:leftChars="4000"/>
        <w:rPr>
          <w:szCs w:val="21"/>
        </w:rPr>
      </w:pPr>
    </w:p>
    <w:p>
      <w:pPr>
        <w:ind w:left="8400" w:leftChars="4000"/>
        <w:rPr>
          <w:szCs w:val="21"/>
        </w:rPr>
      </w:pPr>
    </w:p>
    <w:p>
      <w:pPr>
        <w:ind w:left="8400" w:leftChars="4000"/>
      </w:pPr>
      <w:r>
        <w:rPr>
          <w:rFonts w:hint="eastAsia"/>
          <w:szCs w:val="21"/>
        </w:rPr>
        <w:t xml:space="preserve">日期：        年      月       日                    </w:t>
      </w:r>
    </w:p>
    <w:p>
      <w:pPr>
        <w:ind w:left="8400" w:leftChars="4000"/>
      </w:pPr>
    </w:p>
    <w:p>
      <w:pPr>
        <w:rPr>
          <w:rFonts w:hint="eastAsia"/>
          <w:b/>
          <w:sz w:val="28"/>
          <w:szCs w:val="28"/>
        </w:rPr>
      </w:pPr>
    </w:p>
    <w:sectPr>
      <w:headerReference r:id="rId3" w:type="default"/>
      <w:footerReference r:id="rId4" w:type="default"/>
      <w:pgSz w:w="16783" w:h="23757"/>
      <w:pgMar w:top="1440" w:right="1800" w:bottom="1440" w:left="1800" w:header="851" w:footer="992" w:gutter="0"/>
      <w:pgNumType w:fmt="decimal" w:start="2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A4054"/>
    <w:rsid w:val="04604B22"/>
    <w:rsid w:val="05CE04C3"/>
    <w:rsid w:val="1B8A4054"/>
    <w:rsid w:val="46E30361"/>
    <w:rsid w:val="4A787775"/>
    <w:rsid w:val="6F5109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21"/>
    <w:basedOn w:val="4"/>
    <w:qFormat/>
    <w:uiPriority w:val="0"/>
    <w:rPr>
      <w:rFonts w:hint="eastAsia" w:ascii="宋体" w:hAnsi="宋体" w:eastAsia="宋体" w:cs="宋体"/>
      <w:color w:val="000000"/>
      <w:sz w:val="21"/>
      <w:szCs w:val="21"/>
      <w:u w:val="none"/>
    </w:rPr>
  </w:style>
  <w:style w:type="character" w:customStyle="1" w:styleId="9">
    <w:name w:val="font91"/>
    <w:basedOn w:val="4"/>
    <w:qFormat/>
    <w:uiPriority w:val="0"/>
    <w:rPr>
      <w:rFonts w:hint="default" w:ascii="Times New Roman" w:hAnsi="Times New Roman" w:cs="Times New Roman"/>
      <w:color w:val="000000"/>
      <w:sz w:val="21"/>
      <w:szCs w:val="21"/>
      <w:u w:val="none"/>
    </w:rPr>
  </w:style>
  <w:style w:type="character" w:customStyle="1" w:styleId="10">
    <w:name w:val="font51"/>
    <w:basedOn w:val="4"/>
    <w:qFormat/>
    <w:uiPriority w:val="0"/>
    <w:rPr>
      <w:rFonts w:hint="default" w:ascii="Times New Roman" w:hAnsi="Times New Roman" w:cs="Times New Roman"/>
      <w:color w:val="000000"/>
      <w:sz w:val="21"/>
      <w:szCs w:val="21"/>
      <w:u w:val="none"/>
      <w:vertAlign w:val="superscript"/>
    </w:rPr>
  </w:style>
  <w:style w:type="character" w:customStyle="1" w:styleId="11">
    <w:name w:val="font71"/>
    <w:basedOn w:val="4"/>
    <w:qFormat/>
    <w:uiPriority w:val="0"/>
    <w:rPr>
      <w:rFonts w:hint="default" w:ascii="Times New Roman" w:hAnsi="Times New Roman" w:cs="Times New Roman"/>
      <w:color w:val="000000"/>
      <w:sz w:val="21"/>
      <w:szCs w:val="21"/>
      <w:u w:val="single"/>
    </w:rPr>
  </w:style>
  <w:style w:type="character" w:customStyle="1" w:styleId="12">
    <w:name w:val="font31"/>
    <w:basedOn w:val="4"/>
    <w:qFormat/>
    <w:uiPriority w:val="0"/>
    <w:rPr>
      <w:rFonts w:hint="eastAsia" w:ascii="宋体" w:hAnsi="宋体" w:eastAsia="宋体" w:cs="宋体"/>
      <w:color w:val="000000"/>
      <w:sz w:val="21"/>
      <w:szCs w:val="21"/>
      <w:u w:val="single"/>
    </w:rPr>
  </w:style>
  <w:style w:type="character" w:customStyle="1" w:styleId="13">
    <w:name w:val="font61"/>
    <w:basedOn w:val="4"/>
    <w:qFormat/>
    <w:uiPriority w:val="0"/>
    <w:rPr>
      <w:rFonts w:hint="default" w:ascii="Times New Roman" w:hAnsi="Times New Roman" w:cs="Times New Roman"/>
      <w:color w:val="000000"/>
      <w:sz w:val="21"/>
      <w:szCs w:val="21"/>
      <w:u w:val="single"/>
    </w:rPr>
  </w:style>
  <w:style w:type="character" w:customStyle="1" w:styleId="14">
    <w:name w:val="font11"/>
    <w:basedOn w:val="4"/>
    <w:qFormat/>
    <w:uiPriority w:val="0"/>
    <w:rPr>
      <w:rFonts w:hint="default" w:ascii="Times New Roman" w:hAnsi="Times New Roman" w:cs="Times New Roman"/>
      <w:color w:val="000000"/>
      <w:sz w:val="21"/>
      <w:szCs w:val="21"/>
      <w:u w:val="none"/>
    </w:rPr>
  </w:style>
  <w:style w:type="character" w:customStyle="1" w:styleId="15">
    <w:name w:val="font01"/>
    <w:basedOn w:val="4"/>
    <w:qFormat/>
    <w:uiPriority w:val="0"/>
    <w:rPr>
      <w:rFonts w:hint="default" w:ascii="Times New Roman" w:hAnsi="Times New Roman" w:cs="Times New Roman"/>
      <w:color w:val="000000"/>
      <w:sz w:val="21"/>
      <w:szCs w:val="21"/>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2016-06-12T09:25:00Z</dcterms:created>
  <dc:creator>jnbjnyk</dc:creator>
  <cp:lastModifiedBy>jnbjnyk</cp:lastModifiedBy>
  <cp:lastPrinted>2016-06-13T02:26:00Z</cp:lastPrinted>
  <dcterms:modified xsi:type="dcterms:W3CDTF">2016-06-13T03:07:39Z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