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 w:val="0"/>
          <w:bCs/>
          <w:szCs w:val="21"/>
        </w:rPr>
      </w:pPr>
      <w:r>
        <w:rPr>
          <w:rFonts w:hint="eastAsia" w:ascii="黑体" w:hAnsi="黑体" w:eastAsia="黑体" w:cs="黑体"/>
          <w:b w:val="0"/>
          <w:bCs/>
          <w:sz w:val="28"/>
          <w:szCs w:val="28"/>
        </w:rPr>
        <w:t>附表2  沈阳市居住建筑绿色建筑施工图审查要点评定表二(一般项)</w:t>
      </w:r>
    </w:p>
    <w:tbl>
      <w:tblPr>
        <w:tblStyle w:val="6"/>
        <w:tblW w:w="13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192"/>
        <w:gridCol w:w="1782"/>
        <w:gridCol w:w="4470"/>
        <w:gridCol w:w="177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25" w:hRule="atLeast"/>
          <w:jc w:val="center"/>
        </w:trPr>
        <w:tc>
          <w:tcPr>
            <w:tcW w:w="419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条文</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自评达标情况</w:t>
            </w:r>
          </w:p>
        </w:tc>
        <w:tc>
          <w:tcPr>
            <w:tcW w:w="447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自评材料</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审查评定意见</w:t>
            </w:r>
          </w:p>
        </w:tc>
        <w:tc>
          <w:tcPr>
            <w:tcW w:w="99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4192" w:type="dxa"/>
            <w:vMerge w:val="continue"/>
            <w:tcBorders/>
            <w:shd w:val="clear" w:color="auto" w:fill="auto"/>
            <w:vAlign w:val="center"/>
          </w:tcPr>
          <w:p>
            <w:pPr>
              <w:jc w:val="both"/>
              <w:rPr>
                <w:rFonts w:hint="eastAsia" w:ascii="宋体" w:hAnsi="宋体" w:eastAsia="宋体" w:cs="宋体"/>
                <w:i w:val="0"/>
                <w:color w:val="000000"/>
                <w:sz w:val="21"/>
                <w:szCs w:val="21"/>
                <w:u w:val="none"/>
              </w:rPr>
            </w:pP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vMerge w:val="continue"/>
            <w:tcBorders/>
            <w:shd w:val="clear" w:color="auto" w:fill="auto"/>
            <w:vAlign w:val="center"/>
          </w:tcPr>
          <w:p>
            <w:pPr>
              <w:jc w:val="both"/>
              <w:rPr>
                <w:rFonts w:hint="eastAsia" w:ascii="宋体" w:hAnsi="宋体" w:eastAsia="宋体" w:cs="宋体"/>
                <w:b/>
                <w:i w:val="0"/>
                <w:color w:val="000000"/>
                <w:sz w:val="21"/>
                <w:szCs w:val="21"/>
                <w:u w:val="none"/>
              </w:rPr>
            </w:pP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vMerge w:val="continue"/>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2" w:hRule="atLeast"/>
          <w:jc w:val="center"/>
        </w:trPr>
        <w:tc>
          <w:tcPr>
            <w:tcW w:w="419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建筑专业</w:t>
            </w:r>
          </w:p>
        </w:tc>
        <w:tc>
          <w:tcPr>
            <w:tcW w:w="1782" w:type="dxa"/>
            <w:shd w:val="clear" w:color="auto" w:fill="auto"/>
            <w:vAlign w:val="center"/>
          </w:tcPr>
          <w:p>
            <w:pPr>
              <w:jc w:val="center"/>
              <w:rPr>
                <w:rFonts w:hint="eastAsia" w:ascii="宋体" w:hAnsi="宋体" w:eastAsia="宋体" w:cs="宋体"/>
                <w:i w:val="0"/>
                <w:color w:val="000000"/>
                <w:sz w:val="21"/>
                <w:szCs w:val="21"/>
                <w:u w:val="none"/>
              </w:rPr>
            </w:pPr>
          </w:p>
        </w:tc>
        <w:tc>
          <w:tcPr>
            <w:tcW w:w="4470" w:type="dxa"/>
            <w:shd w:val="clear" w:color="auto" w:fill="auto"/>
            <w:vAlign w:val="center"/>
          </w:tcPr>
          <w:p>
            <w:pPr>
              <w:jc w:val="both"/>
              <w:rPr>
                <w:rFonts w:hint="eastAsia" w:ascii="宋体" w:hAnsi="宋体" w:eastAsia="宋体" w:cs="宋体"/>
                <w:i w:val="0"/>
                <w:color w:val="000000"/>
                <w:sz w:val="21"/>
                <w:szCs w:val="21"/>
                <w:u w:val="none"/>
              </w:rPr>
            </w:pPr>
          </w:p>
        </w:tc>
        <w:tc>
          <w:tcPr>
            <w:tcW w:w="1773" w:type="dxa"/>
            <w:shd w:val="clear" w:color="auto" w:fill="auto"/>
            <w:vAlign w:val="center"/>
          </w:tcPr>
          <w:p>
            <w:pPr>
              <w:jc w:val="center"/>
              <w:rPr>
                <w:rFonts w:hint="eastAsia" w:ascii="宋体" w:hAnsi="宋体" w:eastAsia="宋体" w:cs="宋体"/>
                <w:i w:val="0"/>
                <w:color w:val="000000"/>
                <w:sz w:val="21"/>
                <w:szCs w:val="21"/>
                <w:u w:val="none"/>
              </w:rPr>
            </w:pPr>
          </w:p>
        </w:tc>
        <w:tc>
          <w:tcPr>
            <w:tcW w:w="990" w:type="dxa"/>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15" w:hRule="atLeast"/>
          <w:jc w:val="center"/>
        </w:trPr>
        <w:tc>
          <w:tcPr>
            <w:tcW w:w="419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8"/>
                <w:lang w:val="en-US" w:eastAsia="zh-CN" w:bidi="ar"/>
              </w:rPr>
              <w:t>、节约集约利用土地，</w:t>
            </w:r>
            <w:r>
              <w:rPr>
                <w:rStyle w:val="9"/>
                <w:rFonts w:eastAsia="宋体"/>
                <w:lang w:val="en-US" w:eastAsia="zh-CN" w:bidi="ar"/>
              </w:rPr>
              <w:t>3</w:t>
            </w:r>
            <w:r>
              <w:rPr>
                <w:rStyle w:val="8"/>
                <w:lang w:val="en-US" w:eastAsia="zh-CN" w:bidi="ar"/>
              </w:rPr>
              <w:t>层及以下，</w:t>
            </w:r>
            <w:r>
              <w:rPr>
                <w:rStyle w:val="9"/>
                <w:rFonts w:eastAsia="宋体"/>
                <w:lang w:val="en-US" w:eastAsia="zh-CN" w:bidi="ar"/>
              </w:rPr>
              <w:t>居住建筑人均用地指标不高于41 m</w:t>
            </w:r>
            <w:r>
              <w:rPr>
                <w:rStyle w:val="10"/>
                <w:rFonts w:eastAsia="宋体"/>
                <w:lang w:val="en-US" w:eastAsia="zh-CN" w:bidi="ar"/>
              </w:rPr>
              <w:t>2</w:t>
            </w:r>
            <w:r>
              <w:rPr>
                <w:rStyle w:val="9"/>
                <w:rFonts w:eastAsia="宋体"/>
                <w:lang w:val="en-US" w:eastAsia="zh-CN" w:bidi="ar"/>
              </w:rPr>
              <w:t>；4-6</w:t>
            </w:r>
            <w:r>
              <w:rPr>
                <w:rStyle w:val="8"/>
                <w:lang w:val="en-US" w:eastAsia="zh-CN" w:bidi="ar"/>
              </w:rPr>
              <w:t>层，不高于</w:t>
            </w:r>
            <w:r>
              <w:rPr>
                <w:rStyle w:val="9"/>
                <w:rFonts w:eastAsia="宋体"/>
                <w:lang w:val="en-US" w:eastAsia="zh-CN" w:bidi="ar"/>
              </w:rPr>
              <w:t>26 m</w:t>
            </w:r>
            <w:r>
              <w:rPr>
                <w:rStyle w:val="10"/>
                <w:rFonts w:eastAsia="宋体"/>
                <w:lang w:val="en-US" w:eastAsia="zh-CN" w:bidi="ar"/>
              </w:rPr>
              <w:t>2</w:t>
            </w:r>
            <w:r>
              <w:rPr>
                <w:rStyle w:val="9"/>
                <w:rFonts w:eastAsia="宋体"/>
                <w:lang w:val="en-US" w:eastAsia="zh-CN" w:bidi="ar"/>
              </w:rPr>
              <w:t>；7-12</w:t>
            </w:r>
            <w:r>
              <w:rPr>
                <w:rStyle w:val="8"/>
                <w:lang w:val="en-US" w:eastAsia="zh-CN" w:bidi="ar"/>
              </w:rPr>
              <w:t>层，不高于</w:t>
            </w:r>
            <w:r>
              <w:rPr>
                <w:rStyle w:val="9"/>
                <w:rFonts w:eastAsia="宋体"/>
                <w:lang w:val="en-US" w:eastAsia="zh-CN" w:bidi="ar"/>
              </w:rPr>
              <w:t>24 m</w:t>
            </w:r>
            <w:r>
              <w:rPr>
                <w:rStyle w:val="10"/>
                <w:rFonts w:eastAsia="宋体"/>
                <w:lang w:val="en-US" w:eastAsia="zh-CN" w:bidi="ar"/>
              </w:rPr>
              <w:t>2</w:t>
            </w:r>
            <w:r>
              <w:rPr>
                <w:rStyle w:val="9"/>
                <w:rFonts w:eastAsia="宋体"/>
                <w:lang w:val="en-US" w:eastAsia="zh-CN" w:bidi="ar"/>
              </w:rPr>
              <w:t>；13-18</w:t>
            </w:r>
            <w:r>
              <w:rPr>
                <w:rStyle w:val="8"/>
                <w:lang w:val="en-US" w:eastAsia="zh-CN" w:bidi="ar"/>
              </w:rPr>
              <w:t>层，不高于</w:t>
            </w:r>
            <w:r>
              <w:rPr>
                <w:rStyle w:val="9"/>
                <w:rFonts w:eastAsia="宋体"/>
                <w:lang w:val="en-US" w:eastAsia="zh-CN" w:bidi="ar"/>
              </w:rPr>
              <w:t>22 m</w:t>
            </w:r>
            <w:r>
              <w:rPr>
                <w:rStyle w:val="10"/>
                <w:rFonts w:eastAsia="宋体"/>
                <w:lang w:val="en-US" w:eastAsia="zh-CN" w:bidi="ar"/>
              </w:rPr>
              <w:t>2</w:t>
            </w:r>
            <w:r>
              <w:rPr>
                <w:rStyle w:val="9"/>
                <w:rFonts w:eastAsia="宋体"/>
                <w:lang w:val="en-US" w:eastAsia="zh-CN" w:bidi="ar"/>
              </w:rPr>
              <w:t>；19</w:t>
            </w:r>
            <w:r>
              <w:rPr>
                <w:rStyle w:val="8"/>
                <w:lang w:val="en-US" w:eastAsia="zh-CN" w:bidi="ar"/>
              </w:rPr>
              <w:t>层以上，不高于</w:t>
            </w:r>
            <w:r>
              <w:rPr>
                <w:rStyle w:val="9"/>
                <w:rFonts w:eastAsia="宋体"/>
                <w:lang w:val="en-US" w:eastAsia="zh-CN" w:bidi="ar"/>
              </w:rPr>
              <w:t>13 m</w:t>
            </w:r>
            <w:r>
              <w:rPr>
                <w:rStyle w:val="10"/>
                <w:rFonts w:eastAsia="宋体"/>
                <w:lang w:val="en-US" w:eastAsia="zh-CN" w:bidi="ar"/>
              </w:rPr>
              <w:t>2</w:t>
            </w:r>
            <w:r>
              <w:rPr>
                <w:rStyle w:val="9"/>
                <w:rFonts w:eastAsia="宋体"/>
                <w:lang w:val="en-US" w:eastAsia="zh-CN" w:bidi="ar"/>
              </w:rPr>
              <w:t>。</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总居住用地面积：</w:t>
            </w:r>
            <w:r>
              <w:rPr>
                <w:rStyle w:val="11"/>
                <w:rFonts w:eastAsia="宋体"/>
                <w:lang w:val="en-US" w:eastAsia="zh-CN" w:bidi="ar"/>
              </w:rPr>
              <w:t xml:space="preserve">    </w:t>
            </w:r>
            <w:r>
              <w:rPr>
                <w:rStyle w:val="9"/>
                <w:rFonts w:eastAsia="宋体"/>
                <w:lang w:val="en-US" w:eastAsia="zh-CN" w:bidi="ar"/>
              </w:rPr>
              <w:t>㎡，总户数：</w:t>
            </w:r>
            <w:r>
              <w:rPr>
                <w:rStyle w:val="11"/>
                <w:rFonts w:eastAsia="宋体"/>
                <w:lang w:val="en-US" w:eastAsia="zh-CN" w:bidi="ar"/>
              </w:rPr>
              <w:t xml:space="preserve">     </w:t>
            </w:r>
            <w:r>
              <w:rPr>
                <w:rStyle w:val="9"/>
                <w:rFonts w:eastAsia="宋体"/>
                <w:lang w:val="en-US" w:eastAsia="zh-CN" w:bidi="ar"/>
              </w:rPr>
              <w:t>户，总人数：</w:t>
            </w:r>
            <w:r>
              <w:rPr>
                <w:rStyle w:val="11"/>
                <w:rFonts w:eastAsia="宋体"/>
                <w:lang w:val="en-US" w:eastAsia="zh-CN" w:bidi="ar"/>
              </w:rPr>
              <w:t xml:space="preserve">     </w:t>
            </w:r>
            <w:r>
              <w:rPr>
                <w:rStyle w:val="9"/>
                <w:rFonts w:eastAsia="宋体"/>
                <w:lang w:val="en-US" w:eastAsia="zh-CN" w:bidi="ar"/>
              </w:rPr>
              <w:t>（按3.2人/户换算人口数），居住建筑人均用地指标</w:t>
            </w:r>
            <w:r>
              <w:rPr>
                <w:rStyle w:val="11"/>
                <w:rFonts w:eastAsia="宋体"/>
                <w:lang w:val="en-US" w:eastAsia="zh-CN" w:bidi="ar"/>
              </w:rPr>
              <w:t xml:space="preserve">       </w:t>
            </w:r>
            <w:r>
              <w:rPr>
                <w:rStyle w:val="9"/>
                <w:rFonts w:eastAsia="宋体"/>
                <w:lang w:val="en-US" w:eastAsia="zh-CN" w:bidi="ar"/>
              </w:rPr>
              <w:t>㎡</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35" w:hRule="atLeast"/>
          <w:jc w:val="center"/>
        </w:trPr>
        <w:tc>
          <w:tcPr>
            <w:tcW w:w="419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、建筑规划布局应满足当地规划审批要求及日照标准，且不得降低周边建筑的日照标准。</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82" w:hRule="atLeast"/>
          <w:jc w:val="center"/>
        </w:trPr>
        <w:tc>
          <w:tcPr>
            <w:tcW w:w="419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 场地内合理设置绿化用地，</w:t>
            </w:r>
          </w:p>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）居住建筑住区绿地率：新区建设达到30%，旧区改建达到25%；</w:t>
            </w:r>
          </w:p>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）住区人均公共绿地面积：新区建设，住区人均公共绿地面积 Ag</w:t>
            </w:r>
            <w:r>
              <w:rPr>
                <w:rStyle w:val="9"/>
                <w:rFonts w:hint="eastAsia" w:eastAsia="宋体"/>
                <w:lang w:val="en-US" w:eastAsia="zh-CN" w:bidi="ar"/>
              </w:rPr>
              <w:t>≥</w:t>
            </w:r>
            <w:r>
              <w:rPr>
                <w:rStyle w:val="9"/>
                <w:rFonts w:eastAsia="宋体"/>
                <w:lang w:val="en-US" w:eastAsia="zh-CN" w:bidi="ar"/>
              </w:rPr>
              <w:t>1.0m</w:t>
            </w:r>
            <w:r>
              <w:rPr>
                <w:rStyle w:val="10"/>
                <w:rFonts w:eastAsia="宋体"/>
                <w:lang w:val="en-US" w:eastAsia="zh-CN" w:bidi="ar"/>
              </w:rPr>
              <w:t>2</w:t>
            </w:r>
            <w:r>
              <w:rPr>
                <w:rStyle w:val="9"/>
                <w:rFonts w:eastAsia="宋体"/>
                <w:lang w:val="en-US" w:eastAsia="zh-CN" w:bidi="ar"/>
              </w:rPr>
              <w:t xml:space="preserve"> ；旧区改造，住区人均公共绿地面积Ag</w:t>
            </w:r>
            <w:r>
              <w:rPr>
                <w:rStyle w:val="9"/>
                <w:rFonts w:hint="eastAsia" w:eastAsia="宋体"/>
                <w:lang w:val="en-US" w:eastAsia="zh-CN" w:bidi="ar"/>
              </w:rPr>
              <w:t>≥</w:t>
            </w:r>
            <w:r>
              <w:rPr>
                <w:rStyle w:val="9"/>
                <w:rFonts w:eastAsia="宋体"/>
                <w:lang w:val="en-US" w:eastAsia="zh-CN" w:bidi="ar"/>
              </w:rPr>
              <w:t>0.7m</w:t>
            </w:r>
            <w:r>
              <w:rPr>
                <w:rStyle w:val="10"/>
                <w:rFonts w:eastAsia="宋体"/>
                <w:lang w:val="en-US" w:eastAsia="zh-CN" w:bidi="ar"/>
              </w:rPr>
              <w:t>2</w:t>
            </w:r>
            <w:r>
              <w:rPr>
                <w:rStyle w:val="9"/>
                <w:rFonts w:eastAsia="宋体"/>
                <w:lang w:val="en-US" w:eastAsia="zh-CN" w:bidi="ar"/>
              </w:rPr>
              <w:t>。</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住区绿地面积：</w:t>
            </w:r>
            <w:r>
              <w:rPr>
                <w:rStyle w:val="11"/>
                <w:rFonts w:eastAsia="宋体"/>
                <w:lang w:val="en-US" w:eastAsia="zh-CN" w:bidi="ar"/>
              </w:rPr>
              <w:t xml:space="preserve">    </w:t>
            </w:r>
            <w:r>
              <w:rPr>
                <w:rStyle w:val="9"/>
                <w:rFonts w:eastAsia="宋体"/>
                <w:lang w:val="en-US" w:eastAsia="zh-CN" w:bidi="ar"/>
              </w:rPr>
              <w:t>㎡，住区用地面积：</w:t>
            </w:r>
            <w:r>
              <w:rPr>
                <w:rStyle w:val="11"/>
                <w:rFonts w:eastAsia="宋体"/>
                <w:lang w:val="en-US" w:eastAsia="zh-CN" w:bidi="ar"/>
              </w:rPr>
              <w:t xml:space="preserve">    </w:t>
            </w:r>
            <w:r>
              <w:rPr>
                <w:rStyle w:val="9"/>
                <w:rFonts w:eastAsia="宋体"/>
                <w:lang w:val="en-US" w:eastAsia="zh-CN" w:bidi="ar"/>
              </w:rPr>
              <w:t xml:space="preserve"> ㎡，住区绿地率：</w:t>
            </w:r>
            <w:r>
              <w:rPr>
                <w:rStyle w:val="11"/>
                <w:rFonts w:eastAsia="宋体"/>
                <w:lang w:val="en-US" w:eastAsia="zh-CN" w:bidi="ar"/>
              </w:rPr>
              <w:t xml:space="preserve">  </w:t>
            </w:r>
            <w:r>
              <w:rPr>
                <w:rStyle w:val="9"/>
                <w:rFonts w:eastAsia="宋体"/>
                <w:u w:val="single"/>
                <w:lang w:val="en-US" w:eastAsia="zh-CN" w:bidi="ar"/>
              </w:rPr>
              <w:t xml:space="preserve">  </w:t>
            </w:r>
            <w:r>
              <w:rPr>
                <w:rStyle w:val="9"/>
                <w:rFonts w:eastAsia="宋体"/>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住区总公共绿地面积：</w:t>
            </w:r>
            <w:r>
              <w:rPr>
                <w:rStyle w:val="11"/>
                <w:rFonts w:eastAsia="宋体"/>
                <w:lang w:val="en-US" w:eastAsia="zh-CN" w:bidi="ar"/>
              </w:rPr>
              <w:t xml:space="preserve">     </w:t>
            </w:r>
            <w:r>
              <w:rPr>
                <w:rStyle w:val="9"/>
                <w:rFonts w:eastAsia="宋体"/>
                <w:lang w:val="en-US" w:eastAsia="zh-CN" w:bidi="ar"/>
              </w:rPr>
              <w:t>㎡，人均公共绿地面积：</w:t>
            </w:r>
            <w:r>
              <w:rPr>
                <w:rStyle w:val="11"/>
                <w:rFonts w:eastAsia="宋体"/>
                <w:lang w:val="en-US" w:eastAsia="zh-CN" w:bidi="ar"/>
              </w:rPr>
              <w:t xml:space="preserve">     </w:t>
            </w:r>
            <w:r>
              <w:rPr>
                <w:rStyle w:val="9"/>
                <w:rFonts w:eastAsia="宋体"/>
                <w:lang w:val="en-US" w:eastAsia="zh-CN" w:bidi="ar"/>
              </w:rPr>
              <w:t>㎡</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9" w:hRule="atLeast"/>
          <w:jc w:val="center"/>
        </w:trPr>
        <w:tc>
          <w:tcPr>
            <w:tcW w:w="419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r>
              <w:rPr>
                <w:rStyle w:val="9"/>
                <w:rFonts w:eastAsia="宋体"/>
                <w:lang w:val="en-US" w:eastAsia="zh-CN" w:bidi="ar"/>
              </w:rPr>
              <w:t>、合理开发利用地下空间，地下建筑面积与地上建筑面积的比率 Rr</w:t>
            </w:r>
            <w:r>
              <w:rPr>
                <w:rStyle w:val="9"/>
                <w:rFonts w:hint="eastAsia" w:eastAsia="宋体"/>
                <w:lang w:val="en-US" w:eastAsia="zh-CN" w:bidi="ar"/>
              </w:rPr>
              <w:t>≥</w:t>
            </w:r>
            <w:r>
              <w:rPr>
                <w:rStyle w:val="9"/>
                <w:rFonts w:eastAsia="宋体"/>
                <w:lang w:val="en-US" w:eastAsia="zh-CN" w:bidi="ar"/>
              </w:rPr>
              <w:t>5%。</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widowControl/>
              <w:suppressLineNumbers w:val="0"/>
              <w:jc w:val="both"/>
              <w:textAlignment w:val="center"/>
              <w:rPr>
                <w:rStyle w:val="9"/>
                <w:rFonts w:eastAsia="宋体"/>
                <w:lang w:val="en-US" w:eastAsia="zh-CN" w:bidi="ar"/>
              </w:rPr>
            </w:pPr>
            <w:r>
              <w:rPr>
                <w:rFonts w:hint="default" w:ascii="Times New Roman" w:hAnsi="Times New Roman" w:eastAsia="宋体" w:cs="Times New Roman"/>
                <w:i w:val="0"/>
                <w:color w:val="000000"/>
                <w:kern w:val="0"/>
                <w:sz w:val="21"/>
                <w:szCs w:val="21"/>
                <w:u w:val="none"/>
                <w:lang w:val="en-US" w:eastAsia="zh-CN" w:bidi="ar"/>
              </w:rPr>
              <w:t>地上建筑面积：</w:t>
            </w:r>
            <w:r>
              <w:rPr>
                <w:rStyle w:val="11"/>
                <w:rFonts w:eastAsia="宋体"/>
                <w:lang w:val="en-US" w:eastAsia="zh-CN" w:bidi="ar"/>
              </w:rPr>
              <w:t xml:space="preserve">    </w:t>
            </w:r>
            <w:r>
              <w:rPr>
                <w:rStyle w:val="9"/>
                <w:rFonts w:eastAsia="宋体"/>
                <w:lang w:val="en-US" w:eastAsia="zh-CN" w:bidi="ar"/>
              </w:rPr>
              <w:t>㎡，</w:t>
            </w:r>
          </w:p>
          <w:p>
            <w:pPr>
              <w:keepNext w:val="0"/>
              <w:keepLines w:val="0"/>
              <w:widowControl/>
              <w:suppressLineNumbers w:val="0"/>
              <w:jc w:val="both"/>
              <w:textAlignment w:val="center"/>
              <w:rPr>
                <w:rStyle w:val="9"/>
                <w:rFonts w:eastAsia="宋体"/>
                <w:lang w:val="en-US" w:eastAsia="zh-CN" w:bidi="ar"/>
              </w:rPr>
            </w:pPr>
            <w:r>
              <w:rPr>
                <w:rStyle w:val="9"/>
                <w:rFonts w:eastAsia="宋体"/>
                <w:lang w:val="en-US" w:eastAsia="zh-CN" w:bidi="ar"/>
              </w:rPr>
              <w:t>地下建筑面积：</w:t>
            </w:r>
            <w:r>
              <w:rPr>
                <w:rStyle w:val="11"/>
                <w:rFonts w:eastAsia="宋体"/>
                <w:lang w:val="en-US" w:eastAsia="zh-CN" w:bidi="ar"/>
              </w:rPr>
              <w:t xml:space="preserve"> </w:t>
            </w:r>
            <w:r>
              <w:rPr>
                <w:rStyle w:val="11"/>
                <w:rFonts w:hint="eastAsia" w:eastAsia="宋体"/>
                <w:lang w:val="en-US" w:eastAsia="zh-CN" w:bidi="ar"/>
              </w:rPr>
              <w:t xml:space="preserve"> </w:t>
            </w:r>
            <w:r>
              <w:rPr>
                <w:rStyle w:val="11"/>
                <w:rFonts w:eastAsia="宋体"/>
                <w:lang w:val="en-US" w:eastAsia="zh-CN" w:bidi="ar"/>
              </w:rPr>
              <w:t xml:space="preserve">  </w:t>
            </w:r>
            <w:r>
              <w:rPr>
                <w:rStyle w:val="9"/>
                <w:rFonts w:eastAsia="宋体"/>
                <w:lang w:val="en-US" w:eastAsia="zh-CN" w:bidi="ar"/>
              </w:rPr>
              <w:t>㎡，</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地下建筑面积与地上建筑面积的比率</w:t>
            </w:r>
          </w:p>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为：</w:t>
            </w:r>
            <w:r>
              <w:rPr>
                <w:rStyle w:val="11"/>
                <w:rFonts w:eastAsia="宋体"/>
                <w:lang w:val="en-US" w:eastAsia="zh-CN" w:bidi="ar"/>
              </w:rPr>
              <w:t xml:space="preserve">     </w:t>
            </w:r>
            <w:r>
              <w:rPr>
                <w:rStyle w:val="9"/>
                <w:rFonts w:eastAsia="宋体"/>
                <w:lang w:val="en-US" w:eastAsia="zh-CN" w:bidi="ar"/>
              </w:rPr>
              <w:t>（%）</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15" w:hRule="atLeast"/>
          <w:jc w:val="center"/>
        </w:trPr>
        <w:tc>
          <w:tcPr>
            <w:tcW w:w="419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r>
              <w:rPr>
                <w:rStyle w:val="9"/>
                <w:rFonts w:eastAsia="宋体"/>
                <w:lang w:val="en-US" w:eastAsia="zh-CN" w:bidi="ar"/>
              </w:rPr>
              <w:t>、建筑设计避免产生光污染。如果采用玻璃幕墙：可见光反射比不大于0.2，未采用玻璃幕墙直接判定为满足。</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是否采用玻璃幕墙：□是、□否</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玻璃幕墙可见光反射比是否大于</w:t>
            </w:r>
            <w:r>
              <w:rPr>
                <w:rStyle w:val="9"/>
                <w:rFonts w:eastAsia="宋体"/>
                <w:lang w:val="en-US" w:eastAsia="zh-CN" w:bidi="ar"/>
              </w:rPr>
              <w:t>0.2</w:t>
            </w:r>
            <w:r>
              <w:rPr>
                <w:rStyle w:val="8"/>
                <w:lang w:val="en-US" w:eastAsia="zh-CN" w:bidi="ar"/>
              </w:rPr>
              <w:t>：□是、□否</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4192"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r>
              <w:rPr>
                <w:rStyle w:val="9"/>
                <w:rFonts w:eastAsia="宋体"/>
                <w:lang w:val="en-US" w:eastAsia="zh-CN" w:bidi="ar"/>
              </w:rPr>
              <w:t>、采取建筑物屋面美化措施，提升环境质量。</w:t>
            </w:r>
          </w:p>
        </w:tc>
        <w:tc>
          <w:tcPr>
            <w:tcW w:w="178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屋顶美化措施有：</w:t>
            </w:r>
            <w:r>
              <w:rPr>
                <w:rStyle w:val="8"/>
                <w:lang w:val="en-US" w:eastAsia="zh-CN" w:bidi="ar"/>
              </w:rPr>
              <w:t xml:space="preserve"> □铺设、□喷涂、□涂刷、□其他 </w:t>
            </w:r>
          </w:p>
        </w:tc>
        <w:tc>
          <w:tcPr>
            <w:tcW w:w="177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4192" w:type="dxa"/>
            <w:vMerge w:val="continue"/>
            <w:shd w:val="clear" w:color="auto" w:fill="auto"/>
            <w:vAlign w:val="center"/>
          </w:tcPr>
          <w:p>
            <w:pPr>
              <w:jc w:val="both"/>
              <w:rPr>
                <w:rFonts w:hint="default" w:ascii="Times New Roman" w:hAnsi="Times New Roman" w:eastAsia="宋体" w:cs="Times New Roman"/>
                <w:i w:val="0"/>
                <w:color w:val="000000"/>
                <w:sz w:val="21"/>
                <w:szCs w:val="21"/>
                <w:u w:val="none"/>
              </w:rPr>
            </w:pPr>
          </w:p>
        </w:tc>
        <w:tc>
          <w:tcPr>
            <w:tcW w:w="1782" w:type="dxa"/>
            <w:vMerge w:val="continue"/>
            <w:shd w:val="clear" w:color="auto" w:fill="auto"/>
            <w:vAlign w:val="center"/>
          </w:tcPr>
          <w:p>
            <w:pPr>
              <w:jc w:val="center"/>
              <w:rPr>
                <w:rFonts w:hint="eastAsia" w:ascii="宋体" w:hAnsi="宋体" w:eastAsia="宋体" w:cs="宋体"/>
                <w:i w:val="0"/>
                <w:color w:val="000000"/>
                <w:sz w:val="21"/>
                <w:szCs w:val="21"/>
                <w:u w:val="none"/>
              </w:rPr>
            </w:pPr>
          </w:p>
        </w:tc>
        <w:tc>
          <w:tcPr>
            <w:tcW w:w="4470" w:type="dxa"/>
            <w:vMerge w:val="continue"/>
            <w:shd w:val="clear" w:color="auto" w:fill="auto"/>
            <w:vAlign w:val="center"/>
          </w:tcPr>
          <w:p>
            <w:pPr>
              <w:jc w:val="left"/>
              <w:rPr>
                <w:rFonts w:hint="eastAsia" w:ascii="宋体" w:hAnsi="宋体" w:eastAsia="宋体" w:cs="宋体"/>
                <w:i w:val="0"/>
                <w:color w:val="000000"/>
                <w:sz w:val="21"/>
                <w:szCs w:val="21"/>
                <w:u w:val="none"/>
              </w:rPr>
            </w:pPr>
          </w:p>
        </w:tc>
        <w:tc>
          <w:tcPr>
            <w:tcW w:w="1773" w:type="dxa"/>
            <w:vMerge w:val="continue"/>
            <w:shd w:val="clear" w:color="auto" w:fill="auto"/>
            <w:vAlign w:val="center"/>
          </w:tcPr>
          <w:p>
            <w:pPr>
              <w:jc w:val="center"/>
              <w:rPr>
                <w:rFonts w:hint="eastAsia" w:ascii="宋体" w:hAnsi="宋体" w:eastAsia="宋体" w:cs="宋体"/>
                <w:i w:val="0"/>
                <w:color w:val="000000"/>
                <w:sz w:val="21"/>
                <w:szCs w:val="21"/>
                <w:u w:val="none"/>
              </w:rPr>
            </w:pPr>
          </w:p>
        </w:tc>
        <w:tc>
          <w:tcPr>
            <w:tcW w:w="990" w:type="dxa"/>
            <w:vMerge w:val="continue"/>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55" w:hRule="atLeast"/>
          <w:jc w:val="center"/>
        </w:trPr>
        <w:tc>
          <w:tcPr>
            <w:tcW w:w="419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r>
              <w:rPr>
                <w:rStyle w:val="9"/>
                <w:rFonts w:eastAsia="宋体"/>
                <w:lang w:val="en-US" w:eastAsia="zh-CN" w:bidi="ar"/>
              </w:rPr>
              <w:t>、场地与公共交通设施具有便捷的联系，场地出入口到达公共汽车站的步行距离不大于500m，或到达轨道交通站的步行距离不大于800m。</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widowControl/>
              <w:suppressLineNumbers w:val="0"/>
              <w:jc w:val="left"/>
              <w:textAlignment w:val="center"/>
              <w:rPr>
                <w:rStyle w:val="8"/>
                <w:rFonts w:hint="eastAsia"/>
                <w:lang w:val="en-US" w:eastAsia="zh-CN" w:bidi="ar"/>
              </w:rPr>
            </w:pPr>
            <w:r>
              <w:rPr>
                <w:rFonts w:hint="eastAsia" w:ascii="宋体" w:hAnsi="宋体" w:eastAsia="宋体" w:cs="宋体"/>
                <w:i w:val="0"/>
                <w:color w:val="000000"/>
                <w:kern w:val="0"/>
                <w:sz w:val="21"/>
                <w:szCs w:val="21"/>
                <w:u w:val="none"/>
                <w:lang w:val="en-US" w:eastAsia="zh-CN" w:bidi="ar"/>
              </w:rPr>
              <w:t>场地出入口到达公共汽车站的步行距离不大于</w:t>
            </w:r>
            <w:r>
              <w:rPr>
                <w:rStyle w:val="9"/>
                <w:rFonts w:eastAsia="宋体"/>
                <w:lang w:val="en-US" w:eastAsia="zh-CN" w:bidi="ar"/>
              </w:rPr>
              <w:t>500m</w:t>
            </w:r>
            <w:r>
              <w:rPr>
                <w:rStyle w:val="8"/>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或场地出入口到达轨道交通站的步行距离不大于</w:t>
            </w:r>
            <w:r>
              <w:rPr>
                <w:rStyle w:val="9"/>
                <w:rFonts w:eastAsia="宋体"/>
                <w:lang w:val="en-US" w:eastAsia="zh-CN" w:bidi="ar"/>
              </w:rPr>
              <w:t>800m</w:t>
            </w:r>
            <w:r>
              <w:rPr>
                <w:rStyle w:val="8"/>
                <w:lang w:val="en-US" w:eastAsia="zh-CN" w:bidi="ar"/>
              </w:rPr>
              <w:t>，□是、□否</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93" w:hRule="atLeast"/>
          <w:jc w:val="center"/>
        </w:trPr>
        <w:tc>
          <w:tcPr>
            <w:tcW w:w="419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r>
              <w:rPr>
                <w:rStyle w:val="9"/>
                <w:rFonts w:eastAsia="宋体"/>
                <w:lang w:val="en-US" w:eastAsia="zh-CN" w:bidi="ar"/>
              </w:rPr>
              <w:t>、场地内人行通道采用无障碍设计。</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简述场地内人行通道及场地内外联系的无障碍设计情况：</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0" w:hRule="atLeast"/>
          <w:jc w:val="center"/>
        </w:trPr>
        <w:tc>
          <w:tcPr>
            <w:tcW w:w="419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r>
              <w:rPr>
                <w:rStyle w:val="9"/>
                <w:rFonts w:eastAsia="宋体"/>
                <w:lang w:val="en-US" w:eastAsia="zh-CN" w:bidi="ar"/>
              </w:rPr>
              <w:t>、合理设置自行车停车场所，自行车停车设施位置合理、方便出入，且有遮阳防雨雪措施。</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合理设置自行车棚、车库等，□是、□否</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90" w:hRule="atLeast"/>
          <w:jc w:val="center"/>
        </w:trPr>
        <w:tc>
          <w:tcPr>
            <w:tcW w:w="419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r>
              <w:rPr>
                <w:rStyle w:val="9"/>
                <w:rFonts w:eastAsia="宋体"/>
                <w:lang w:val="en-US" w:eastAsia="zh-CN" w:bidi="ar"/>
              </w:rPr>
              <w:t>、合理设置机动车停车场所，采用机械式停车库、地下停车库或停车楼等方式节约集约用地。</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机械式停车库、□地下停车库、□停车楼</w:t>
            </w:r>
          </w:p>
        </w:tc>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4192" w:type="dxa"/>
            <w:vMerge w:val="restart"/>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8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47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9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4192" w:type="dxa"/>
            <w:vMerge w:val="continue"/>
            <w:tcBorders/>
            <w:shd w:val="clear" w:color="auto" w:fill="auto"/>
            <w:textDirection w:val="lrTb"/>
            <w:vAlign w:val="center"/>
          </w:tcPr>
          <w:p>
            <w:pPr>
              <w:jc w:val="both"/>
              <w:rPr>
                <w:rFonts w:hint="default" w:ascii="Times New Roman" w:hAnsi="Times New Roman" w:eastAsia="宋体" w:cs="Times New Roman"/>
                <w:i w:val="0"/>
                <w:color w:val="000000"/>
                <w:kern w:val="0"/>
                <w:sz w:val="21"/>
                <w:szCs w:val="21"/>
                <w:u w:val="none"/>
                <w:lang w:val="en-US" w:eastAsia="zh-CN" w:bidi="ar"/>
              </w:rPr>
            </w:pPr>
          </w:p>
        </w:tc>
        <w:tc>
          <w:tcPr>
            <w:tcW w:w="178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470" w:type="dxa"/>
            <w:vMerge w:val="continue"/>
            <w:tcBorders/>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90" w:type="dxa"/>
            <w:vMerge w:val="continue"/>
            <w:shd w:val="clear" w:color="auto" w:fill="auto"/>
            <w:textDirection w:val="lrTb"/>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97"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r>
              <w:rPr>
                <w:rStyle w:val="9"/>
                <w:rFonts w:eastAsia="宋体"/>
                <w:lang w:val="en-US" w:eastAsia="zh-CN" w:bidi="ar"/>
              </w:rPr>
              <w:t>、结合场地自然条件，对建筑的体形、朝向、楼距、窗墙比等进行优化设计。对于居住建筑，如果建筑的体形简单、朝向接近正南正北，楼间距、窗墙比也满足标准要求，可直接判定满足。否则，则应提供建筑的朝向、体形、楼距、窗墙比的优化设计，及是满足相关标准要求的报告。</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□建筑体形简单、□朝向接近正南正北、□楼间距符合相关规划标准要求、□窗墙比满足国家相关建筑节能设计标准的规定</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若以上四个方面有一个不满足，则是否结合场地自然条件对其进行优化设计：□是、□否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简要说明对居住建筑体形、朝向、楼距、窗墙比等进行的优化设计及优化效果，如在建筑朝向、布局设计时如何考虑冬季获得足够的日照和采光并避开主导风向，夏季利用自然通风并防止太阳辐射等:</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32"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r>
              <w:rPr>
                <w:rStyle w:val="9"/>
                <w:rFonts w:eastAsia="宋体"/>
                <w:lang w:val="en-US" w:eastAsia="zh-CN" w:bidi="ar"/>
              </w:rPr>
              <w:t>、外窗、玻璃幕墙的可开启部分能使建筑获得良好的通风。仅设幕墙，玻璃幕墙透明部分可开启面积比例达到5%；仅设外窗外窗可开启面积比例达到25%。设玻璃幕墙和外窗，两者均满足。</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设外窗，□是、□否，可开启面积比</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9"/>
                <w:rFonts w:eastAsia="宋体"/>
                <w:lang w:val="en-US" w:eastAsia="zh-CN" w:bidi="ar"/>
              </w:rPr>
            </w:pPr>
            <w:r>
              <w:rPr>
                <w:rFonts w:hint="eastAsia" w:ascii="宋体" w:hAnsi="宋体" w:eastAsia="宋体" w:cs="宋体"/>
                <w:i w:val="0"/>
                <w:color w:val="000000"/>
                <w:kern w:val="0"/>
                <w:sz w:val="21"/>
                <w:szCs w:val="21"/>
                <w:u w:val="none"/>
                <w:lang w:val="en-US" w:eastAsia="zh-CN" w:bidi="ar"/>
              </w:rPr>
              <w:t>例：</w:t>
            </w:r>
            <w:r>
              <w:rPr>
                <w:rStyle w:val="12"/>
                <w:lang w:val="en-US" w:eastAsia="zh-CN" w:bidi="ar"/>
              </w:rPr>
              <w:t xml:space="preserve">        </w:t>
            </w:r>
            <w:r>
              <w:rPr>
                <w:rStyle w:val="9"/>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9"/>
                <w:rFonts w:hint="eastAsia" w:eastAsia="宋体"/>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设幕墙，□是、□否，可开启面积比</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例：</w:t>
            </w:r>
            <w:r>
              <w:rPr>
                <w:rStyle w:val="12"/>
                <w:lang w:val="en-US" w:eastAsia="zh-CN" w:bidi="ar"/>
              </w:rPr>
              <w:t xml:space="preserve">        </w:t>
            </w:r>
            <w:r>
              <w:rPr>
                <w:rStyle w:val="9"/>
                <w:rFonts w:eastAsia="宋体"/>
                <w:lang w:val="en-US" w:eastAsia="zh-CN" w:bidi="ar"/>
              </w:rPr>
              <w:t>（%）</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6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r>
              <w:rPr>
                <w:rStyle w:val="9"/>
                <w:rFonts w:eastAsia="宋体"/>
                <w:lang w:val="en-US" w:eastAsia="zh-CN" w:bidi="ar"/>
              </w:rPr>
              <w:t>、居住建筑土建与装修一体化设计的户数比例达到30% 。</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Style w:val="9"/>
                <w:rFonts w:eastAsia="宋体"/>
                <w:lang w:val="en-US" w:eastAsia="zh-CN" w:bidi="ar"/>
              </w:rPr>
            </w:pPr>
            <w:r>
              <w:rPr>
                <w:rFonts w:hint="default" w:ascii="Times New Roman" w:hAnsi="Times New Roman" w:eastAsia="宋体" w:cs="Times New Roman"/>
                <w:i w:val="0"/>
                <w:color w:val="000000"/>
                <w:kern w:val="0"/>
                <w:sz w:val="21"/>
                <w:szCs w:val="21"/>
                <w:u w:val="none"/>
                <w:lang w:val="en-US" w:eastAsia="zh-CN" w:bidi="ar"/>
              </w:rPr>
              <w:t>住宅总户数</w:t>
            </w:r>
            <w:r>
              <w:rPr>
                <w:rStyle w:val="11"/>
                <w:rFonts w:eastAsia="宋体"/>
                <w:lang w:val="en-US" w:eastAsia="zh-CN" w:bidi="ar"/>
              </w:rPr>
              <w:t xml:space="preserve">      </w:t>
            </w:r>
            <w:r>
              <w:rPr>
                <w:rStyle w:val="9"/>
                <w:rFonts w:eastAsia="宋体"/>
                <w:lang w:val="en-US" w:eastAsia="zh-CN" w:bidi="ar"/>
              </w:rPr>
              <w:t>（户），土建与装修一体化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Style w:val="8"/>
                <w:lang w:val="en-US" w:eastAsia="zh-CN" w:bidi="ar"/>
              </w:rPr>
            </w:pPr>
            <w:r>
              <w:rPr>
                <w:rStyle w:val="9"/>
                <w:rFonts w:eastAsia="宋体"/>
                <w:lang w:val="en-US" w:eastAsia="zh-CN" w:bidi="ar"/>
              </w:rPr>
              <w:t>设计的户数</w:t>
            </w:r>
            <w:r>
              <w:rPr>
                <w:rStyle w:val="11"/>
                <w:rFonts w:eastAsia="宋体"/>
                <w:lang w:val="en-US" w:eastAsia="zh-CN" w:bidi="ar"/>
              </w:rPr>
              <w:t xml:space="preserve">     </w:t>
            </w:r>
            <w:r>
              <w:rPr>
                <w:rStyle w:val="9"/>
                <w:rFonts w:eastAsia="宋体"/>
                <w:lang w:val="en-US" w:eastAsia="zh-CN" w:bidi="ar"/>
              </w:rPr>
              <w:t>（户）</w:t>
            </w:r>
            <w:r>
              <w:rPr>
                <w:rStyle w:val="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Style w:val="8"/>
                <w:rFonts w:hint="default"/>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住宅建筑土建与装修一体化设计的户数</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比例</w:t>
            </w:r>
            <w:r>
              <w:rPr>
                <w:rStyle w:val="11"/>
                <w:rFonts w:eastAsia="宋体"/>
                <w:lang w:val="en-US" w:eastAsia="zh-CN" w:bidi="ar"/>
              </w:rPr>
              <w:t xml:space="preserve">     </w:t>
            </w:r>
            <w:r>
              <w:rPr>
                <w:rStyle w:val="9"/>
                <w:rFonts w:eastAsia="宋体"/>
                <w:lang w:val="en-US" w:eastAsia="zh-CN" w:bidi="ar"/>
              </w:rPr>
              <w:t>（%）</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7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r>
              <w:rPr>
                <w:rStyle w:val="9"/>
                <w:rFonts w:eastAsia="宋体"/>
                <w:lang w:val="en-US" w:eastAsia="zh-CN" w:bidi="ar"/>
              </w:rPr>
              <w:t>、采取减少噪声干扰的措施，建筑平面、空间布局合理，没有明显的噪声干扰。</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建筑平面、空间布局合理：□是、□否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项目内有噪声敏感建筑：□是、□否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如“是”，噪声敏感建筑沿交通干线两侧布置：□是、□否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如“是”，采取相关降噪措施：□是、□否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场地内有产生噪声的附属设施：□锅炉房、□制冷机房、□水泵房、□电梯间、□其他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如存在以上设施，则对其采取降噪措施防止对噪声敏感建筑产生噪声干扰：□是、□否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6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r>
              <w:rPr>
                <w:rStyle w:val="9"/>
                <w:rFonts w:eastAsia="宋体"/>
                <w:lang w:val="en-US" w:eastAsia="zh-CN" w:bidi="ar"/>
              </w:rPr>
              <w:t>、建筑主要功能房间具有良好的户外视野。对居住建筑，其与相邻建筑的直接间距超过18m。</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居住建筑与相邻建筑的直接间距超过</w:t>
            </w:r>
            <w:r>
              <w:rPr>
                <w:rStyle w:val="9"/>
                <w:rFonts w:eastAsia="宋体"/>
                <w:lang w:val="en-US" w:eastAsia="zh-CN" w:bidi="ar"/>
              </w:rPr>
              <w:t>18</w:t>
            </w:r>
            <w:r>
              <w:rPr>
                <w:rStyle w:val="8"/>
                <w:lang w:val="en-US" w:eastAsia="zh-CN" w:bidi="ar"/>
              </w:rPr>
              <w:t>m：□是、□否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r>
              <w:rPr>
                <w:rStyle w:val="9"/>
                <w:rFonts w:eastAsia="宋体"/>
                <w:lang w:val="en-US" w:eastAsia="zh-CN" w:bidi="ar"/>
              </w:rPr>
              <w:t>、优化建筑空间、平面布局和构造设计，改善自然通风效果，通风开口面积与房间地板面积的比例达到5%。　</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通风开口面积与房间地板面积的比例达到</w:t>
            </w:r>
            <w:r>
              <w:rPr>
                <w:rStyle w:val="9"/>
                <w:rFonts w:eastAsia="宋体"/>
                <w:lang w:val="en-US" w:eastAsia="zh-CN" w:bidi="ar"/>
              </w:rPr>
              <w:t>5%</w:t>
            </w:r>
            <w:r>
              <w:rPr>
                <w:rStyle w:val="8"/>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0" w:hRule="atLeast"/>
          <w:jc w:val="center"/>
        </w:trPr>
        <w:tc>
          <w:tcPr>
            <w:tcW w:w="4192" w:type="dxa"/>
            <w:vMerge w:val="restart"/>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8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47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9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jc w:val="center"/>
        </w:trPr>
        <w:tc>
          <w:tcPr>
            <w:tcW w:w="4192" w:type="dxa"/>
            <w:vMerge w:val="continue"/>
            <w:tcBorders/>
            <w:shd w:val="clear" w:color="auto" w:fill="auto"/>
            <w:textDirection w:val="lrTb"/>
            <w:vAlign w:val="center"/>
          </w:tcPr>
          <w:p>
            <w:pPr>
              <w:jc w:val="both"/>
              <w:rPr>
                <w:rFonts w:hint="default" w:ascii="Times New Roman" w:hAnsi="Times New Roman" w:eastAsia="宋体" w:cs="Times New Roman"/>
                <w:i w:val="0"/>
                <w:color w:val="000000"/>
                <w:kern w:val="0"/>
                <w:sz w:val="21"/>
                <w:szCs w:val="21"/>
                <w:u w:val="none"/>
                <w:lang w:val="en-US" w:eastAsia="zh-CN" w:bidi="ar"/>
              </w:rPr>
            </w:pPr>
          </w:p>
        </w:tc>
        <w:tc>
          <w:tcPr>
            <w:tcW w:w="178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470" w:type="dxa"/>
            <w:vMerge w:val="continue"/>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90" w:type="dxa"/>
            <w:vMerge w:val="continue"/>
            <w:shd w:val="clear" w:color="auto" w:fill="auto"/>
            <w:textDirection w:val="lrTb"/>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2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17</w:t>
            </w:r>
            <w:r>
              <w:rPr>
                <w:rStyle w:val="9"/>
                <w:rFonts w:eastAsia="宋体"/>
                <w:lang w:val="en-US" w:eastAsia="zh-CN" w:bidi="ar"/>
              </w:rPr>
              <w:t>、充分利用场地空间合理设置绿色雨水基础设施：（满足一项即可）</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、下凹式绿地、雨水花园等有调蓄雨水功能的绿地和水体的面积之和占绿地面积的比例达到30%；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9"/>
                <w:rFonts w:eastAsia="宋体"/>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、合理衔接和引导屋面雨水、道路雨水进入地面生态设施，并采取相应的径流污染控制措施；</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Style w:val="9"/>
                <w:rFonts w:eastAsia="宋体"/>
                <w:lang w:val="en-US" w:eastAsia="zh-CN" w:bidi="ar"/>
              </w:rPr>
              <w:t>3、硬质铺装地面中透水铺装面积的比例达到20%。</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、绿地面积：</w:t>
            </w:r>
            <w:r>
              <w:rPr>
                <w:rStyle w:val="11"/>
                <w:rFonts w:eastAsia="宋体"/>
                <w:lang w:val="en-US" w:eastAsia="zh-CN" w:bidi="ar"/>
              </w:rPr>
              <w:t xml:space="preserve">     </w:t>
            </w:r>
            <w:r>
              <w:rPr>
                <w:rStyle w:val="9"/>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9"/>
                <w:rFonts w:eastAsia="宋体"/>
                <w:lang w:val="en-US" w:eastAsia="zh-CN" w:bidi="ar"/>
              </w:rPr>
            </w:pPr>
            <w:r>
              <w:rPr>
                <w:rFonts w:hint="default" w:ascii="Times New Roman" w:hAnsi="Times New Roman" w:eastAsia="宋体" w:cs="Times New Roman"/>
                <w:i w:val="0"/>
                <w:color w:val="000000"/>
                <w:kern w:val="0"/>
                <w:sz w:val="21"/>
                <w:szCs w:val="21"/>
                <w:u w:val="none"/>
                <w:lang w:val="en-US" w:eastAsia="zh-CN" w:bidi="ar"/>
              </w:rPr>
              <w:t>下凹式绿地：</w:t>
            </w:r>
            <w:r>
              <w:rPr>
                <w:rStyle w:val="9"/>
                <w:rFonts w:eastAsia="宋体"/>
                <w:lang w:val="en-US" w:eastAsia="zh-CN" w:bidi="ar"/>
              </w:rPr>
              <w:t xml:space="preserve"> </w:t>
            </w:r>
            <w:r>
              <w:rPr>
                <w:rStyle w:val="11"/>
                <w:rFonts w:eastAsia="宋体"/>
                <w:lang w:val="en-US" w:eastAsia="zh-CN" w:bidi="ar"/>
              </w:rPr>
              <w:t xml:space="preserve">          </w:t>
            </w:r>
            <w:r>
              <w:rPr>
                <w:rStyle w:val="9"/>
                <w:rFonts w:eastAsia="宋体"/>
                <w:lang w:val="en-US" w:eastAsia="zh-CN" w:bidi="ar"/>
              </w:rPr>
              <w:t>（m</w:t>
            </w:r>
            <w:r>
              <w:rPr>
                <w:rStyle w:val="10"/>
                <w:rFonts w:eastAsia="宋体"/>
                <w:lang w:val="en-US" w:eastAsia="zh-CN" w:bidi="ar"/>
              </w:rPr>
              <w:t>2</w:t>
            </w:r>
            <w:r>
              <w:rPr>
                <w:rStyle w:val="9"/>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9"/>
                <w:rFonts w:eastAsia="宋体"/>
                <w:lang w:val="en-US" w:eastAsia="zh-CN" w:bidi="ar"/>
              </w:rPr>
            </w:pPr>
            <w:r>
              <w:rPr>
                <w:rStyle w:val="9"/>
                <w:rFonts w:eastAsia="宋体"/>
                <w:lang w:val="en-US" w:eastAsia="zh-CN" w:bidi="ar"/>
              </w:rPr>
              <w:t>或雨水花园：</w:t>
            </w:r>
            <w:r>
              <w:rPr>
                <w:rStyle w:val="11"/>
                <w:rFonts w:eastAsia="宋体"/>
                <w:lang w:val="en-US" w:eastAsia="zh-CN" w:bidi="ar"/>
              </w:rPr>
              <w:t xml:space="preserve">          </w:t>
            </w:r>
            <w:r>
              <w:rPr>
                <w:rStyle w:val="9"/>
                <w:rFonts w:eastAsia="宋体"/>
                <w:lang w:val="en-US" w:eastAsia="zh-CN" w:bidi="ar"/>
              </w:rPr>
              <w:t>（m</w:t>
            </w:r>
            <w:r>
              <w:rPr>
                <w:rStyle w:val="10"/>
                <w:rFonts w:eastAsia="宋体"/>
                <w:lang w:val="en-US" w:eastAsia="zh-CN" w:bidi="ar"/>
              </w:rPr>
              <w:t>2</w:t>
            </w:r>
            <w:r>
              <w:rPr>
                <w:rStyle w:val="9"/>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9"/>
                <w:rFonts w:eastAsia="宋体"/>
                <w:lang w:val="en-US" w:eastAsia="zh-CN" w:bidi="ar"/>
              </w:rPr>
            </w:pPr>
            <w:r>
              <w:rPr>
                <w:rStyle w:val="9"/>
                <w:rFonts w:eastAsia="宋体"/>
                <w:lang w:val="en-US" w:eastAsia="zh-CN" w:bidi="ar"/>
              </w:rPr>
              <w:t>或</w:t>
            </w:r>
            <w:r>
              <w:rPr>
                <w:rFonts w:hint="default" w:ascii="Times New Roman" w:hAnsi="Times New Roman" w:eastAsia="宋体" w:cs="Times New Roman"/>
                <w:i w:val="0"/>
                <w:color w:val="000000"/>
                <w:kern w:val="0"/>
                <w:sz w:val="21"/>
                <w:szCs w:val="21"/>
                <w:u w:val="none"/>
                <w:lang w:val="en-US" w:eastAsia="zh-CN" w:bidi="ar"/>
              </w:rPr>
              <w:t>屋顶绿化：</w:t>
            </w:r>
            <w:r>
              <w:rPr>
                <w:rStyle w:val="11"/>
                <w:rFonts w:eastAsia="宋体"/>
                <w:lang w:val="en-US" w:eastAsia="zh-CN" w:bidi="ar"/>
              </w:rPr>
              <w:t xml:space="preserve">       </w:t>
            </w:r>
            <w:r>
              <w:rPr>
                <w:rStyle w:val="9"/>
                <w:rFonts w:eastAsia="宋体"/>
                <w:lang w:val="en-US" w:eastAsia="zh-CN" w:bidi="ar"/>
              </w:rPr>
              <w:t>（m</w:t>
            </w:r>
            <w:r>
              <w:rPr>
                <w:rStyle w:val="10"/>
                <w:rFonts w:eastAsia="宋体"/>
                <w:lang w:val="en-US" w:eastAsia="zh-CN" w:bidi="ar"/>
              </w:rPr>
              <w:t>2</w:t>
            </w:r>
            <w:r>
              <w:rPr>
                <w:rStyle w:val="9"/>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9"/>
                <w:rFonts w:eastAsia="宋体"/>
                <w:lang w:val="en-US" w:eastAsia="zh-CN" w:bidi="ar"/>
              </w:rPr>
            </w:pPr>
            <w:r>
              <w:rPr>
                <w:rStyle w:val="9"/>
                <w:rFonts w:eastAsia="宋体"/>
                <w:lang w:val="en-US" w:eastAsia="zh-CN" w:bidi="ar"/>
              </w:rPr>
              <w:t>或树池：</w:t>
            </w:r>
            <w:r>
              <w:rPr>
                <w:rStyle w:val="11"/>
                <w:rFonts w:eastAsia="宋体"/>
                <w:lang w:val="en-US" w:eastAsia="zh-CN" w:bidi="ar"/>
              </w:rPr>
              <w:t xml:space="preserve">          </w:t>
            </w:r>
            <w:r>
              <w:rPr>
                <w:rStyle w:val="9"/>
                <w:rFonts w:eastAsia="宋体"/>
                <w:lang w:val="en-US" w:eastAsia="zh-CN" w:bidi="ar"/>
              </w:rPr>
              <w:t>（m</w:t>
            </w:r>
            <w:r>
              <w:rPr>
                <w:rStyle w:val="10"/>
                <w:rFonts w:eastAsia="宋体"/>
                <w:lang w:val="en-US" w:eastAsia="zh-CN" w:bidi="ar"/>
              </w:rPr>
              <w:t>2</w:t>
            </w:r>
            <w:r>
              <w:rPr>
                <w:rStyle w:val="9"/>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Style w:val="9"/>
                <w:rFonts w:eastAsia="宋体"/>
                <w:lang w:val="en-US" w:eastAsia="zh-CN" w:bidi="ar"/>
              </w:rPr>
              <w:t>或</w:t>
            </w:r>
            <w:r>
              <w:rPr>
                <w:rFonts w:hint="default" w:ascii="Times New Roman" w:hAnsi="Times New Roman" w:eastAsia="宋体" w:cs="Times New Roman"/>
                <w:i w:val="0"/>
                <w:color w:val="000000"/>
                <w:kern w:val="0"/>
                <w:sz w:val="21"/>
                <w:szCs w:val="21"/>
                <w:u w:val="none"/>
                <w:lang w:val="en-US" w:eastAsia="zh-CN" w:bidi="ar"/>
              </w:rPr>
              <w:t>植被浅沟：</w:t>
            </w:r>
            <w:r>
              <w:rPr>
                <w:rStyle w:val="11"/>
                <w:rFonts w:eastAsia="宋体"/>
                <w:lang w:val="en-US" w:eastAsia="zh-CN" w:bidi="ar"/>
              </w:rPr>
              <w:t xml:space="preserve">          </w:t>
            </w:r>
            <w:r>
              <w:rPr>
                <w:rStyle w:val="9"/>
                <w:rFonts w:eastAsia="宋体"/>
                <w:lang w:val="en-US" w:eastAsia="zh-CN" w:bidi="ar"/>
              </w:rPr>
              <w:t>（m</w:t>
            </w:r>
            <w:r>
              <w:rPr>
                <w:rStyle w:val="10"/>
                <w:rFonts w:eastAsia="宋体"/>
                <w:lang w:val="en-US" w:eastAsia="zh-CN" w:bidi="ar"/>
              </w:rPr>
              <w:t>2</w:t>
            </w:r>
            <w:r>
              <w:rPr>
                <w:rStyle w:val="9"/>
                <w:rFonts w:eastAsia="宋体"/>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下</w:t>
            </w:r>
            <w:r>
              <w:rPr>
                <w:rFonts w:hint="default" w:ascii="Times New Roman" w:hAnsi="Times New Roman" w:eastAsia="宋体" w:cs="Times New Roman"/>
                <w:i w:val="0"/>
                <w:color w:val="000000"/>
                <w:spacing w:val="-3"/>
                <w:kern w:val="0"/>
                <w:sz w:val="21"/>
                <w:szCs w:val="21"/>
                <w:u w:val="none"/>
                <w:lang w:val="en-US" w:eastAsia="zh-CN" w:bidi="ar"/>
              </w:rPr>
              <w:t>凹式绿地、雨水花园等有调蓄雨水功能的绿地和水体的面积之和占绿地面积</w:t>
            </w:r>
            <w:r>
              <w:rPr>
                <w:rFonts w:hint="default" w:ascii="Times New Roman" w:hAnsi="Times New Roman" w:eastAsia="宋体" w:cs="Times New Roman"/>
                <w:i w:val="0"/>
                <w:color w:val="000000"/>
                <w:kern w:val="0"/>
                <w:sz w:val="21"/>
                <w:szCs w:val="21"/>
                <w:u w:val="none"/>
                <w:lang w:val="en-US" w:eastAsia="zh-CN" w:bidi="ar"/>
              </w:rPr>
              <w:t>的比例</w:t>
            </w:r>
            <w:r>
              <w:rPr>
                <w:rStyle w:val="9"/>
                <w:rFonts w:eastAsia="宋体"/>
                <w:lang w:val="en-US" w:eastAsia="zh-CN" w:bidi="ar"/>
              </w:rPr>
              <w:t xml:space="preserve"> </w:t>
            </w:r>
            <w:r>
              <w:rPr>
                <w:rStyle w:val="11"/>
                <w:rFonts w:eastAsia="宋体"/>
                <w:lang w:val="en-US" w:eastAsia="zh-CN" w:bidi="ar"/>
              </w:rPr>
              <w:t xml:space="preserve">      </w:t>
            </w:r>
            <w:r>
              <w:rPr>
                <w:rStyle w:val="9"/>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、合理衔接和引导屋面雨水、道路雨水进入地面生态设施：</w:t>
            </w:r>
            <w:r>
              <w:rPr>
                <w:rStyle w:val="8"/>
                <w:lang w:val="en-US" w:eastAsia="zh-CN" w:bidi="ar"/>
              </w:rPr>
              <w:t>□是、□</w:t>
            </w:r>
            <w:r>
              <w:rPr>
                <w:rStyle w:val="9"/>
                <w:rFonts w:eastAsia="宋体"/>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、硬质铺装总面积</w:t>
            </w:r>
            <w:r>
              <w:rPr>
                <w:rStyle w:val="11"/>
                <w:rFonts w:eastAsia="宋体"/>
                <w:lang w:val="en-US" w:eastAsia="zh-CN" w:bidi="ar"/>
              </w:rPr>
              <w:t xml:space="preserve">      </w:t>
            </w:r>
            <w:r>
              <w:rPr>
                <w:rStyle w:val="9"/>
                <w:rFonts w:eastAsia="宋体"/>
                <w:lang w:val="en-US" w:eastAsia="zh-CN" w:bidi="ar"/>
              </w:rPr>
              <w:t>（m</w:t>
            </w:r>
            <w:r>
              <w:rPr>
                <w:rStyle w:val="10"/>
                <w:rFonts w:eastAsia="宋体"/>
                <w:lang w:val="en-US" w:eastAsia="zh-CN" w:bidi="ar"/>
              </w:rPr>
              <w:t>2</w:t>
            </w:r>
            <w:r>
              <w:rPr>
                <w:rStyle w:val="9"/>
                <w:rFonts w:eastAsia="宋体"/>
                <w:lang w:val="en-US" w:eastAsia="zh-CN" w:bidi="ar"/>
              </w:rPr>
              <w:t>）</w:t>
            </w:r>
            <w:r>
              <w:rPr>
                <w:rStyle w:val="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Style w:val="9"/>
                <w:rFonts w:eastAsia="宋体"/>
                <w:lang w:val="en-US" w:eastAsia="zh-CN" w:bidi="ar"/>
              </w:rPr>
              <w:t>透水铺装面积</w:t>
            </w:r>
            <w:r>
              <w:rPr>
                <w:rStyle w:val="11"/>
                <w:rFonts w:eastAsia="宋体"/>
                <w:lang w:val="en-US" w:eastAsia="zh-CN" w:bidi="ar"/>
              </w:rPr>
              <w:t xml:space="preserve">      </w:t>
            </w:r>
            <w:r>
              <w:rPr>
                <w:rStyle w:val="9"/>
                <w:rFonts w:eastAsia="宋体"/>
                <w:lang w:val="en-US" w:eastAsia="zh-CN" w:bidi="ar"/>
              </w:rPr>
              <w:t>（m</w:t>
            </w:r>
            <w:r>
              <w:rPr>
                <w:rStyle w:val="10"/>
                <w:rFonts w:eastAsia="宋体"/>
                <w:lang w:val="en-US" w:eastAsia="zh-CN" w:bidi="ar"/>
              </w:rPr>
              <w:t>2</w:t>
            </w:r>
            <w:r>
              <w:rPr>
                <w:rStyle w:val="9"/>
                <w:rFonts w:eastAsia="宋体"/>
                <w:lang w:val="en-US" w:eastAsia="zh-CN" w:bidi="ar"/>
              </w:rPr>
              <w:t>）</w:t>
            </w:r>
            <w:r>
              <w:rPr>
                <w:rStyle w:val="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Style w:val="9"/>
                <w:rFonts w:eastAsia="宋体"/>
                <w:spacing w:val="-6"/>
                <w:w w:val="100"/>
                <w:lang w:val="en-US" w:eastAsia="zh-CN" w:bidi="ar"/>
              </w:rPr>
              <w:t>硬质铺装地面中透水铺装面积的比例</w:t>
            </w:r>
            <w:r>
              <w:rPr>
                <w:rStyle w:val="11"/>
                <w:rFonts w:eastAsia="宋体"/>
                <w:w w:val="100"/>
                <w:lang w:val="en-US" w:eastAsia="zh-CN" w:bidi="ar"/>
              </w:rPr>
              <w:t xml:space="preserve">      </w:t>
            </w:r>
            <w:r>
              <w:rPr>
                <w:rStyle w:val="9"/>
                <w:rFonts w:eastAsia="宋体"/>
                <w:w w:val="100"/>
                <w:lang w:val="en-US" w:eastAsia="zh-CN" w:bidi="ar"/>
              </w:rPr>
              <w:t>（%）</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7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r>
              <w:rPr>
                <w:rStyle w:val="9"/>
                <w:rFonts w:eastAsia="宋体"/>
                <w:lang w:val="en-US" w:eastAsia="zh-CN" w:bidi="ar"/>
              </w:rPr>
              <w:t>、合理选择绿化方式，科学配置绿化植物，种植适应沈阳市气候和土壤条件的植物，采用乔、灌、草结合的复层绿化，种植区域覆土深度和排水能力满足植物生长需求。</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绿化物种是否主要选用适宜当地气候和土壤条件的乡土植物：□是、□否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如绿化植物种植在地下车库顶板上，则种植区域覆土深度：</w:t>
            </w:r>
            <w:r>
              <w:rPr>
                <w:rStyle w:val="13"/>
                <w:rFonts w:eastAsia="宋体"/>
                <w:lang w:val="en-US" w:eastAsia="zh-CN" w:bidi="ar"/>
              </w:rPr>
              <w:t xml:space="preserve">       </w:t>
            </w:r>
            <w:r>
              <w:rPr>
                <w:rStyle w:val="14"/>
                <w:rFonts w:eastAsia="宋体"/>
                <w:lang w:val="en-US" w:eastAsia="zh-CN" w:bidi="ar"/>
              </w:rPr>
              <w:t>m</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满足项小计（至少满足</w:t>
            </w:r>
            <w:r>
              <w:rPr>
                <w:rStyle w:val="9"/>
                <w:rFonts w:eastAsia="宋体"/>
                <w:lang w:val="en-US" w:eastAsia="zh-CN" w:bidi="ar"/>
              </w:rPr>
              <w:t>11项）</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Style w:val="8"/>
                <w:u w:val="single"/>
                <w:lang w:val="en-US" w:eastAsia="zh-CN" w:bidi="ar"/>
              </w:rPr>
              <w:t xml:space="preserve">      </w:t>
            </w:r>
            <w:r>
              <w:rPr>
                <w:rStyle w:val="8"/>
                <w:lang w:val="en-US" w:eastAsia="zh-CN" w:bidi="ar"/>
              </w:rPr>
              <w:t>项</w:t>
            </w: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7"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结构专业</w:t>
            </w:r>
          </w:p>
        </w:tc>
        <w:tc>
          <w:tcPr>
            <w:tcW w:w="17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9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、择优选用建筑形体，根据国家标准《建筑抗震设计规范》GB 50011 - 2010规定的建筑形体规则性评定。</w:t>
            </w:r>
            <w:r>
              <w:rPr>
                <w:rStyle w:val="8"/>
                <w:lang w:val="en-US" w:eastAsia="zh-CN" w:bidi="ar"/>
              </w:rPr>
              <w:t>对于形体“特别不规则”和“严重不规则”的建筑，本条不达标。</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建筑形体不规则</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建筑形体规则</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建筑形体为特别不规则和严重不规则</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、对地基基础、结构体系、结构构件进行优化设计，达到节材效果。</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地基基础设计方案合理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结构体系设计方案合理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结构构件设计方案合理</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、采用工业化生产的预制构件。</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使用部位：</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r>
              <w:rPr>
                <w:rStyle w:val="9"/>
                <w:rFonts w:eastAsia="宋体"/>
                <w:lang w:val="en-US" w:eastAsia="zh-CN" w:bidi="ar"/>
              </w:rPr>
              <w:t>、现浇混凝土采用预拌混凝土。</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r>
              <w:rPr>
                <w:rStyle w:val="9"/>
                <w:rFonts w:eastAsia="宋体"/>
                <w:lang w:val="en-US" w:eastAsia="zh-CN" w:bidi="ar"/>
              </w:rPr>
              <w:t>、建筑砂浆采用预拌砂浆的比例达到50 %。</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4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w:t>
            </w:r>
            <w:r>
              <w:rPr>
                <w:rStyle w:val="9"/>
                <w:rFonts w:eastAsia="宋体"/>
                <w:lang w:val="en-US" w:eastAsia="zh-CN" w:bidi="ar"/>
              </w:rPr>
              <w:t>、合理采用高强建筑结构材料：</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 混凝土结构：400MPa级及以上受力普通钢筋的比例 R</w:t>
            </w:r>
            <w:r>
              <w:rPr>
                <w:rStyle w:val="15"/>
                <w:rFonts w:eastAsia="宋体"/>
                <w:lang w:val="en-US" w:eastAsia="zh-CN" w:bidi="ar"/>
              </w:rPr>
              <w:t>sb</w:t>
            </w:r>
            <w:r>
              <w:rPr>
                <w:rStyle w:val="9"/>
                <w:rFonts w:hint="eastAsia" w:eastAsia="宋体"/>
                <w:lang w:val="en-US" w:eastAsia="zh-CN" w:bidi="ar"/>
              </w:rPr>
              <w:t>≥</w:t>
            </w:r>
            <w:r>
              <w:rPr>
                <w:rStyle w:val="9"/>
                <w:rFonts w:eastAsia="宋体"/>
                <w:lang w:val="en-US" w:eastAsia="zh-CN" w:bidi="ar"/>
              </w:rPr>
              <w:t>50%；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Style w:val="9"/>
                <w:rFonts w:eastAsia="宋体"/>
                <w:lang w:val="en-US" w:eastAsia="zh-CN" w:bidi="ar"/>
              </w:rPr>
              <w:t>）钢结构：Q345及以上高强钢材用量占钢材总量的比例达到50%；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Style w:val="9"/>
                <w:rFonts w:eastAsia="宋体"/>
                <w:lang w:val="en-US" w:eastAsia="zh-CN" w:bidi="ar"/>
              </w:rPr>
              <w:t>）混合结构：对其混凝土结构部分和钢结构部分，分别按本条第1款和第2 款进行评价。</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木结构可直接判定为</w:t>
            </w:r>
            <w:r>
              <w:rPr>
                <w:rStyle w:val="8"/>
                <w:lang w:val="en-US" w:eastAsia="zh-CN" w:bidi="ar"/>
              </w:rPr>
              <w:t>达标</w:t>
            </w:r>
            <w:r>
              <w:rPr>
                <w:rStyle w:val="9"/>
                <w:rFonts w:eastAsia="宋体"/>
                <w:lang w:val="en-US" w:eastAsia="zh-CN" w:bidi="ar"/>
              </w:rPr>
              <w:t>。</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0" w:hRule="atLeast"/>
          <w:jc w:val="center"/>
        </w:trPr>
        <w:tc>
          <w:tcPr>
            <w:tcW w:w="4192" w:type="dxa"/>
            <w:vMerge w:val="restart"/>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8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47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9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jc w:val="center"/>
        </w:trPr>
        <w:tc>
          <w:tcPr>
            <w:tcW w:w="4192" w:type="dxa"/>
            <w:vMerge w:val="continue"/>
            <w:shd w:val="clear" w:color="auto" w:fill="auto"/>
            <w:textDirection w:val="lrTb"/>
            <w:vAlign w:val="center"/>
          </w:tcPr>
          <w:p>
            <w:pPr>
              <w:jc w:val="both"/>
              <w:rPr>
                <w:rFonts w:hint="default" w:ascii="Times New Roman" w:hAnsi="Times New Roman" w:eastAsia="宋体" w:cs="Times New Roman"/>
                <w:i w:val="0"/>
                <w:color w:val="000000"/>
                <w:kern w:val="0"/>
                <w:sz w:val="21"/>
                <w:szCs w:val="21"/>
                <w:u w:val="none"/>
                <w:lang w:val="en-US" w:eastAsia="zh-CN" w:bidi="ar"/>
              </w:rPr>
            </w:pPr>
          </w:p>
        </w:tc>
        <w:tc>
          <w:tcPr>
            <w:tcW w:w="178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470" w:type="dxa"/>
            <w:vMerge w:val="continue"/>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90" w:type="dxa"/>
            <w:vMerge w:val="continue"/>
            <w:shd w:val="clear" w:color="auto" w:fill="auto"/>
            <w:textDirection w:val="lrTb"/>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3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r>
              <w:rPr>
                <w:rStyle w:val="9"/>
                <w:rFonts w:eastAsia="宋体"/>
                <w:lang w:val="en-US" w:eastAsia="zh-CN" w:bidi="ar"/>
              </w:rPr>
              <w:t>、合理采用高耐久性建筑结构材料。对混凝土结构，其中高耐久性混凝土用量占混凝土总量的比例达到50%；对钢结构，采用耐候结构钢或耐候型防腐涂料。</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高耐久性混凝土用量占混凝土总量的比例达到</w:t>
            </w:r>
            <w:r>
              <w:rPr>
                <w:rStyle w:val="9"/>
                <w:rFonts w:eastAsia="宋体"/>
                <w:lang w:val="en-US" w:eastAsia="zh-CN" w:bidi="ar"/>
              </w:rPr>
              <w:t>50%</w:t>
            </w:r>
            <w:r>
              <w:rPr>
                <w:rStyle w:val="8"/>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钢结构，采用耐候结构钢或耐候型防腐涂料</w:t>
            </w:r>
            <w:r>
              <w:rPr>
                <w:rStyle w:val="8"/>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满足项小计（至少满足</w:t>
            </w:r>
            <w:r>
              <w:rPr>
                <w:rStyle w:val="9"/>
                <w:rFonts w:eastAsia="宋体"/>
                <w:lang w:val="en-US" w:eastAsia="zh-CN" w:bidi="ar"/>
              </w:rPr>
              <w:t>4项）</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Style w:val="8"/>
                <w:u w:val="single"/>
                <w:lang w:val="en-US" w:eastAsia="zh-CN" w:bidi="ar"/>
              </w:rPr>
              <w:t xml:space="preserve">     </w:t>
            </w:r>
            <w:r>
              <w:rPr>
                <w:rStyle w:val="8"/>
                <w:lang w:val="en-US" w:eastAsia="zh-CN" w:bidi="ar"/>
              </w:rPr>
              <w:t>项</w:t>
            </w: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给排水专业</w:t>
            </w:r>
          </w:p>
        </w:tc>
        <w:tc>
          <w:tcPr>
            <w:tcW w:w="17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single"/>
              </w:rPr>
            </w:pP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single"/>
              </w:rPr>
            </w:pP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3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、采取有效措施避免管网漏损，选用密闭性能好的阀门、设备，使用耐腐蚀、耐久性能好的管材、管件；室外埋地管道采取有效措施避免管网漏损。</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给水系统中使用的管材、管件符合现行产品标准的要求</w:t>
            </w:r>
            <w:r>
              <w:rPr>
                <w:rStyle w:val="8"/>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选用性能高的阀门：□是、□否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耐腐蚀、耐久性能好的管材</w:t>
            </w:r>
            <w:r>
              <w:rPr>
                <w:rStyle w:val="8"/>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合理设计供水压力，避免供水压力持续高压或压力骤降：□是、□否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室外埋地管道基础处理及管道埋深合理：□是、□否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6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、设置用水计量装置，按使用用途，对厨房、卫生间、空调系统、游泳池、绿化、景观等用水分别设置用水计量装置，统计用水量。</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按用途设置用水计量表：□是、□否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计量内容：□厨房用水、□卫生间用水、□空调冷却补水、□游泳池补水、□绿化灌溉用水、□景观补水、□其他</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、设置用水计量装置，按付费或管理单元，分别设置用水计量装置，统计用水量。</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按付费或管理单元</w:t>
            </w:r>
            <w:r>
              <w:rPr>
                <w:rStyle w:val="8"/>
                <w:lang w:val="en-US" w:eastAsia="zh-CN" w:bidi="ar"/>
              </w:rPr>
              <w:t>设置用水计量表：□是、□否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r>
              <w:rPr>
                <w:rStyle w:val="9"/>
                <w:rFonts w:eastAsia="宋体"/>
                <w:lang w:val="en-US" w:eastAsia="zh-CN" w:bidi="ar"/>
              </w:rPr>
              <w:t>、使用较高用水效率等级的卫生器具，用水效率等级达到3级。</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8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r>
              <w:rPr>
                <w:rStyle w:val="9"/>
                <w:rFonts w:eastAsia="宋体"/>
                <w:lang w:val="en-US" w:eastAsia="zh-CN" w:bidi="ar"/>
              </w:rPr>
              <w:t>、绿化灌溉采用节水灌溉系统。</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绿化灌溉水源为：□市政自来水、□建筑中水、□雨水</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采用的绿化灌溉方式为：□滴灌、□微喷灌、□渗灌、□低压管灌、□喷灌、□其他</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9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r>
              <w:rPr>
                <w:rStyle w:val="9"/>
                <w:rFonts w:eastAsia="宋体"/>
                <w:lang w:val="en-US" w:eastAsia="zh-CN" w:bidi="ar"/>
              </w:rPr>
              <w:t>、采取减少噪声干扰的措施，采用同层排水或其他降低排水噪声的有效措施，使用率不小于50%。</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□同层排水技术，使用率不</w:t>
            </w:r>
            <w:r>
              <w:rPr>
                <w:rStyle w:val="9"/>
                <w:rFonts w:eastAsia="宋体"/>
                <w:lang w:val="en-US" w:eastAsia="zh-CN" w:bidi="ar"/>
              </w:rPr>
              <w:t>小于50%</w:t>
            </w:r>
            <w:r>
              <w:rPr>
                <w:rStyle w:val="8"/>
                <w:lang w:val="en-US" w:eastAsia="zh-CN" w:bidi="ar"/>
              </w:rPr>
              <w:t xml:space="preserve"> 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□新型降噪管，</w:t>
            </w:r>
            <w:r>
              <w:rPr>
                <w:rStyle w:val="9"/>
                <w:rFonts w:eastAsia="宋体"/>
                <w:lang w:val="en-US" w:eastAsia="zh-CN" w:bidi="ar"/>
              </w:rPr>
              <w:t>使用率不小于50%</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w:t>
            </w:r>
            <w:r>
              <w:rPr>
                <w:rStyle w:val="9"/>
                <w:rFonts w:eastAsia="宋体"/>
                <w:lang w:val="en-US" w:eastAsia="zh-CN" w:bidi="ar"/>
              </w:rPr>
              <w:t>、绿化灌溉、道路冲洗、洗车用水、冲厕等用水采用非传统水源。</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）设置利用非传统水源措施。</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或</w:t>
            </w:r>
            <w:r>
              <w:rPr>
                <w:rStyle w:val="9"/>
                <w:rFonts w:eastAsia="宋体"/>
                <w:lang w:val="en-US" w:eastAsia="zh-CN" w:bidi="ar"/>
              </w:rPr>
              <w:t>2）绿化灌溉、道路冲洗、洗车用水采用非传统水源的用水量占上述总用水量的比例不低于50%；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或</w:t>
            </w:r>
            <w:r>
              <w:rPr>
                <w:rStyle w:val="9"/>
                <w:rFonts w:eastAsia="宋体"/>
                <w:lang w:val="en-US" w:eastAsia="zh-CN" w:bidi="ar"/>
              </w:rPr>
              <w:t>3）冲厕采用非传统水源的用水量占冲厕总用水量的比例不低于50%。</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项目采用非传统水源时，主要用途为：</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□室内冲厕、□室外绿化灌溉、□道路浇洒、□洗车、□其他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用水量的比例满足要求，□是、□否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给排水</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r>
              <w:rPr>
                <w:rStyle w:val="9"/>
                <w:rFonts w:eastAsia="宋体"/>
                <w:lang w:val="en-US" w:eastAsia="zh-CN" w:bidi="ar"/>
              </w:rPr>
              <w:t>、给水系统无超压出流现象，用水点供水压力不大于0.30Mpa。</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减压措施： </w:t>
            </w:r>
            <w:r>
              <w:rPr>
                <w:rStyle w:val="1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最不利用水点供水压力：</w:t>
            </w:r>
            <w:r>
              <w:rPr>
                <w:rStyle w:val="11"/>
                <w:rFonts w:eastAsia="宋体"/>
                <w:lang w:val="en-US" w:eastAsia="zh-CN" w:bidi="ar"/>
              </w:rPr>
              <w:t xml:space="preserve">     </w:t>
            </w:r>
            <w:r>
              <w:rPr>
                <w:rStyle w:val="12"/>
                <w:lang w:val="en-US" w:eastAsia="zh-CN" w:bidi="ar"/>
              </w:rPr>
              <w:t xml:space="preserve"> </w:t>
            </w:r>
            <w:r>
              <w:rPr>
                <w:rStyle w:val="8"/>
                <w:lang w:val="en-US" w:eastAsia="zh-CN" w:bidi="ar"/>
              </w:rPr>
              <w:t>MPa</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满足项小计（至少满足</w:t>
            </w:r>
            <w:r>
              <w:rPr>
                <w:rStyle w:val="9"/>
                <w:rFonts w:eastAsia="宋体"/>
                <w:lang w:val="en-US" w:eastAsia="zh-CN" w:bidi="ar"/>
              </w:rPr>
              <w:t>5项）</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Style w:val="8"/>
                <w:u w:val="single"/>
                <w:lang w:val="en-US" w:eastAsia="zh-CN" w:bidi="ar"/>
              </w:rPr>
              <w:t xml:space="preserve">      </w:t>
            </w:r>
            <w:r>
              <w:rPr>
                <w:rStyle w:val="8"/>
                <w:lang w:val="en-US" w:eastAsia="zh-CN" w:bidi="ar"/>
              </w:rPr>
              <w:t>项</w:t>
            </w: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5" w:hRule="atLeast"/>
          <w:jc w:val="center"/>
        </w:trPr>
        <w:tc>
          <w:tcPr>
            <w:tcW w:w="4192" w:type="dxa"/>
            <w:vMerge w:val="restart"/>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82" w:type="dxa"/>
            <w:shd w:val="clear" w:color="auto" w:fill="auto"/>
            <w:textDirection w:val="lrTb"/>
            <w:vAlign w:val="center"/>
          </w:tcPr>
          <w:p>
            <w:pPr>
              <w:keepNext w:val="0"/>
              <w:keepLines w:val="0"/>
              <w:widowControl/>
              <w:suppressLineNumbers w:val="0"/>
              <w:jc w:val="center"/>
              <w:textAlignment w:val="center"/>
              <w:rPr>
                <w:rStyle w:val="8"/>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47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自评材料</w:t>
            </w: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9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jc w:val="center"/>
        </w:trPr>
        <w:tc>
          <w:tcPr>
            <w:tcW w:w="4192" w:type="dxa"/>
            <w:vMerge w:val="continue"/>
            <w:shd w:val="clear" w:color="auto" w:fill="auto"/>
            <w:textDirection w:val="lrTb"/>
            <w:vAlign w:val="center"/>
          </w:tcPr>
          <w:p>
            <w:pPr>
              <w:jc w:val="both"/>
              <w:rPr>
                <w:rFonts w:hint="default" w:ascii="Times New Roman" w:hAnsi="Times New Roman" w:eastAsia="宋体" w:cs="Times New Roman"/>
                <w:i w:val="0"/>
                <w:color w:val="000000"/>
                <w:kern w:val="0"/>
                <w:sz w:val="21"/>
                <w:szCs w:val="21"/>
                <w:u w:val="none"/>
                <w:lang w:val="en-US" w:eastAsia="zh-CN" w:bidi="ar"/>
              </w:rPr>
            </w:pPr>
          </w:p>
        </w:tc>
        <w:tc>
          <w:tcPr>
            <w:tcW w:w="1782" w:type="dxa"/>
            <w:shd w:val="clear" w:color="auto" w:fill="auto"/>
            <w:textDirection w:val="lrTb"/>
            <w:vAlign w:val="center"/>
          </w:tcPr>
          <w:p>
            <w:pPr>
              <w:keepNext w:val="0"/>
              <w:keepLines w:val="0"/>
              <w:widowControl/>
              <w:suppressLineNumbers w:val="0"/>
              <w:jc w:val="center"/>
              <w:textAlignment w:val="center"/>
              <w:rPr>
                <w:rStyle w:val="8"/>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470" w:type="dxa"/>
            <w:vMerge w:val="continue"/>
            <w:shd w:val="clear" w:color="auto" w:fill="auto"/>
            <w:textDirection w:val="lrTb"/>
            <w:vAlign w:val="center"/>
          </w:tcPr>
          <w:p>
            <w:pPr>
              <w:jc w:val="both"/>
              <w:rPr>
                <w:rFonts w:hint="eastAsia" w:ascii="宋体" w:hAnsi="宋体" w:eastAsia="宋体" w:cs="宋体"/>
                <w:i w:val="0"/>
                <w:color w:val="000000"/>
                <w:sz w:val="21"/>
                <w:szCs w:val="21"/>
                <w:u w:val="none"/>
              </w:rPr>
            </w:pP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90" w:type="dxa"/>
            <w:vMerge w:val="continue"/>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2" w:hRule="atLeast"/>
          <w:jc w:val="center"/>
        </w:trPr>
        <w:tc>
          <w:tcPr>
            <w:tcW w:w="419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暖通专业</w:t>
            </w:r>
          </w:p>
        </w:tc>
        <w:tc>
          <w:tcPr>
            <w:tcW w:w="1782" w:type="dxa"/>
            <w:shd w:val="clear" w:color="auto" w:fill="auto"/>
            <w:vAlign w:val="center"/>
          </w:tcPr>
          <w:p>
            <w:pPr>
              <w:jc w:val="center"/>
              <w:rPr>
                <w:rFonts w:hint="eastAsia" w:ascii="宋体" w:hAnsi="宋体" w:eastAsia="宋体" w:cs="宋体"/>
                <w:i w:val="0"/>
                <w:color w:val="000000"/>
                <w:sz w:val="21"/>
                <w:szCs w:val="21"/>
                <w:u w:val="single"/>
              </w:rPr>
            </w:pPr>
          </w:p>
        </w:tc>
        <w:tc>
          <w:tcPr>
            <w:tcW w:w="4470" w:type="dxa"/>
            <w:shd w:val="clear" w:color="auto" w:fill="auto"/>
            <w:vAlign w:val="center"/>
          </w:tcPr>
          <w:p>
            <w:pPr>
              <w:jc w:val="both"/>
              <w:rPr>
                <w:rFonts w:hint="eastAsia" w:ascii="宋体" w:hAnsi="宋体" w:eastAsia="宋体" w:cs="宋体"/>
                <w:i w:val="0"/>
                <w:color w:val="000000"/>
                <w:sz w:val="21"/>
                <w:szCs w:val="21"/>
                <w:u w:val="none"/>
              </w:rPr>
            </w:pPr>
          </w:p>
        </w:tc>
        <w:tc>
          <w:tcPr>
            <w:tcW w:w="1773" w:type="dxa"/>
            <w:shd w:val="clear" w:color="auto" w:fill="auto"/>
            <w:vAlign w:val="center"/>
          </w:tcPr>
          <w:p>
            <w:pPr>
              <w:jc w:val="center"/>
              <w:rPr>
                <w:rFonts w:hint="eastAsia" w:ascii="宋体" w:hAnsi="宋体" w:eastAsia="宋体" w:cs="宋体"/>
                <w:i w:val="0"/>
                <w:color w:val="000000"/>
                <w:sz w:val="21"/>
                <w:szCs w:val="21"/>
                <w:u w:val="single"/>
              </w:rPr>
            </w:pPr>
          </w:p>
        </w:tc>
        <w:tc>
          <w:tcPr>
            <w:tcW w:w="990" w:type="dxa"/>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3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、供暖空调系统的冷、热源机组能效均优于现行国家标准《公共建筑节能设计标准》GB 50189的规定以及现行有关国家标准能效限定值的要求。采用城市市政热源直接判定为</w:t>
            </w:r>
            <w:r>
              <w:rPr>
                <w:rStyle w:val="8"/>
                <w:lang w:val="en-US" w:eastAsia="zh-CN" w:bidi="ar"/>
              </w:rPr>
              <w:t>达标</w:t>
            </w:r>
            <w:r>
              <w:rPr>
                <w:rStyle w:val="9"/>
                <w:rFonts w:eastAsia="宋体"/>
                <w:lang w:val="en-US" w:eastAsia="zh-CN" w:bidi="ar"/>
              </w:rPr>
              <w:t>。</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市政热源：□是、□否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冷热源：</w:t>
            </w:r>
            <w:r>
              <w:rPr>
                <w:rStyle w:val="8"/>
                <w:lang w:val="en-US" w:eastAsia="zh-CN" w:bidi="ar"/>
              </w:rPr>
              <w:t>□电机驱动的蒸气压缩循环冷水（热泵）机组、□直燃型和蒸汽型溴化锂吸收式冷（温）水机组、□单元式空气调节机、风管送风式和屋顶式空调机组、□多联式空调（热泵）机组、□燃煤、燃油和燃气锅炉。</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其能效指标比优于现行国家标准《公共建筑节能设计标准》</w:t>
            </w:r>
            <w:r>
              <w:rPr>
                <w:rStyle w:val="9"/>
                <w:rFonts w:eastAsia="宋体"/>
                <w:lang w:val="en-US" w:eastAsia="zh-CN" w:bidi="ar"/>
              </w:rPr>
              <w:t>GB 50189</w:t>
            </w:r>
            <w:r>
              <w:rPr>
                <w:rStyle w:val="8"/>
                <w:lang w:val="en-US" w:eastAsia="zh-CN" w:bidi="ar"/>
              </w:rPr>
              <w:t>规定值：□是、□否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能效指标参数：</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 xml:space="preserve">、区分房间的朝向，细分供暖、空调区域，对系统进行分区控制。 </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系统划分合理，末端可控：□是、□否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、排风能量回收系统设计合理并运行可靠。</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5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r>
              <w:rPr>
                <w:rStyle w:val="9"/>
                <w:rFonts w:eastAsia="宋体"/>
                <w:lang w:val="en-US" w:eastAsia="zh-CN" w:bidi="ar"/>
              </w:rPr>
              <w:t>、根据沈阳市气候和自然资源条件，合理利用可再生能源。</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由可再生能源提供的生活用热水</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由可再生能源提供的空调用冷量和热量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由可再生能源提供的电量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8"/>
                <w:lang w:val="en-US" w:eastAsia="zh-CN" w:bidi="ar"/>
              </w:rPr>
              <w:t>其他可再生能源利用</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r>
              <w:rPr>
                <w:rStyle w:val="9"/>
                <w:rFonts w:eastAsia="宋体"/>
                <w:lang w:val="en-US" w:eastAsia="zh-CN" w:bidi="ar"/>
              </w:rPr>
              <w:t>、供暖、空调末端装置可独立启停的主要功能房间数量比例达到90%。</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r>
              <w:rPr>
                <w:rStyle w:val="9"/>
                <w:rFonts w:eastAsia="宋体"/>
                <w:lang w:val="en-US" w:eastAsia="zh-CN" w:bidi="ar"/>
              </w:rPr>
              <w:t>、气流组织合理，重要功能区域供暖、通风与空调工况下的气流组织满足热环境设计参数要求。</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5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r>
              <w:rPr>
                <w:rStyle w:val="9"/>
                <w:rFonts w:eastAsia="宋体"/>
                <w:lang w:val="en-US" w:eastAsia="zh-CN" w:bidi="ar"/>
              </w:rPr>
              <w:t>、气流组织合理，避免卫生间、餐厅、地下车库等区域的空气和污染物串通到其他空间或室外活动场所。</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卫生间、餐厅、地下车库等区域设置机械通风系统：□是、□否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气流组织合理，避免卫生间、餐厅、地下车库等区域的空气和污染物串通到其他空间或室外活动场所：□是、□否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8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r>
              <w:rPr>
                <w:rStyle w:val="9"/>
                <w:rFonts w:eastAsia="宋体"/>
                <w:lang w:val="en-US" w:eastAsia="zh-CN" w:bidi="ar"/>
              </w:rPr>
              <w:t>、地下汽车库的通风系统，应根据使用情况对通风机设置定时启停（台数）控制或根据车库内的CO浓度进行自动运行控制。</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通风机设置定时启停（台数）控制，□是、□否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根据车库内的</w:t>
            </w:r>
            <w:r>
              <w:rPr>
                <w:rStyle w:val="9"/>
                <w:rFonts w:eastAsia="宋体"/>
                <w:lang w:val="en-US" w:eastAsia="zh-CN" w:bidi="ar"/>
              </w:rPr>
              <w:t>CO</w:t>
            </w:r>
            <w:r>
              <w:rPr>
                <w:rStyle w:val="8"/>
                <w:lang w:val="en-US" w:eastAsia="zh-CN" w:bidi="ar"/>
              </w:rPr>
              <w:t>浓度进行自动运行控制，□是、□否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满足项小计（至少满足</w:t>
            </w:r>
            <w:r>
              <w:rPr>
                <w:rStyle w:val="9"/>
                <w:rFonts w:eastAsia="宋体"/>
                <w:lang w:val="en-US" w:eastAsia="zh-CN" w:bidi="ar"/>
              </w:rPr>
              <w:t>5项）</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Style w:val="8"/>
                <w:u w:val="single"/>
                <w:lang w:val="en-US" w:eastAsia="zh-CN" w:bidi="ar"/>
              </w:rPr>
              <w:t xml:space="preserve">      </w:t>
            </w:r>
            <w:r>
              <w:rPr>
                <w:rStyle w:val="8"/>
                <w:lang w:val="en-US" w:eastAsia="zh-CN" w:bidi="ar"/>
              </w:rPr>
              <w:t>项</w:t>
            </w: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5" w:hRule="atLeast"/>
          <w:jc w:val="center"/>
        </w:trPr>
        <w:tc>
          <w:tcPr>
            <w:tcW w:w="4192" w:type="dxa"/>
            <w:vMerge w:val="restart"/>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bookmarkStart w:id="0" w:name="_GoBack" w:colFirst="2" w:colLast="2"/>
            <w:r>
              <w:rPr>
                <w:rFonts w:hint="eastAsia" w:ascii="宋体" w:hAnsi="宋体" w:eastAsia="宋体" w:cs="宋体"/>
                <w:i w:val="0"/>
                <w:color w:val="000000"/>
                <w:kern w:val="0"/>
                <w:sz w:val="21"/>
                <w:szCs w:val="21"/>
                <w:u w:val="none"/>
                <w:lang w:val="en-US" w:eastAsia="zh-CN" w:bidi="ar"/>
              </w:rPr>
              <w:t>条文</w:t>
            </w:r>
          </w:p>
        </w:tc>
        <w:tc>
          <w:tcPr>
            <w:tcW w:w="1782" w:type="dxa"/>
            <w:shd w:val="clear" w:color="auto" w:fill="auto"/>
            <w:textDirection w:val="lrTb"/>
            <w:vAlign w:val="center"/>
          </w:tcPr>
          <w:p>
            <w:pPr>
              <w:keepNext w:val="0"/>
              <w:keepLines w:val="0"/>
              <w:widowControl/>
              <w:suppressLineNumbers w:val="0"/>
              <w:jc w:val="center"/>
              <w:textAlignment w:val="center"/>
              <w:rPr>
                <w:rStyle w:val="8"/>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47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自评材料</w:t>
            </w: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9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5" w:hRule="atLeast"/>
          <w:jc w:val="center"/>
        </w:trPr>
        <w:tc>
          <w:tcPr>
            <w:tcW w:w="4192" w:type="dxa"/>
            <w:vMerge w:val="continue"/>
            <w:tcBorders/>
            <w:shd w:val="clear" w:color="auto" w:fill="auto"/>
            <w:textDirection w:val="lrTb"/>
            <w:vAlign w:val="center"/>
          </w:tcPr>
          <w:p>
            <w:pPr>
              <w:jc w:val="both"/>
              <w:rPr>
                <w:rFonts w:hint="default" w:ascii="Times New Roman" w:hAnsi="Times New Roman" w:eastAsia="宋体" w:cs="Times New Roman"/>
                <w:i w:val="0"/>
                <w:color w:val="000000"/>
                <w:kern w:val="0"/>
                <w:sz w:val="21"/>
                <w:szCs w:val="21"/>
                <w:u w:val="none"/>
                <w:lang w:val="en-US" w:eastAsia="zh-CN" w:bidi="ar"/>
              </w:rPr>
            </w:pPr>
          </w:p>
        </w:tc>
        <w:tc>
          <w:tcPr>
            <w:tcW w:w="1782" w:type="dxa"/>
            <w:shd w:val="clear" w:color="auto" w:fill="auto"/>
            <w:textDirection w:val="lrTb"/>
            <w:vAlign w:val="center"/>
          </w:tcPr>
          <w:p>
            <w:pPr>
              <w:keepNext w:val="0"/>
              <w:keepLines w:val="0"/>
              <w:widowControl/>
              <w:suppressLineNumbers w:val="0"/>
              <w:jc w:val="center"/>
              <w:textAlignment w:val="center"/>
              <w:rPr>
                <w:rStyle w:val="8"/>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470" w:type="dxa"/>
            <w:vMerge w:val="continue"/>
            <w:tcBorders/>
            <w:shd w:val="clear" w:color="auto" w:fill="auto"/>
            <w:textDirection w:val="lrTb"/>
            <w:vAlign w:val="center"/>
          </w:tcPr>
          <w:p>
            <w:pPr>
              <w:jc w:val="both"/>
              <w:rPr>
                <w:rFonts w:hint="eastAsia" w:ascii="宋体" w:hAnsi="宋体" w:eastAsia="宋体" w:cs="宋体"/>
                <w:i w:val="0"/>
                <w:color w:val="000000"/>
                <w:sz w:val="21"/>
                <w:szCs w:val="21"/>
                <w:u w:val="none"/>
              </w:rPr>
            </w:pP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90" w:type="dxa"/>
            <w:vMerge w:val="continue"/>
            <w:shd w:val="clear" w:color="auto" w:fill="auto"/>
            <w:textDirection w:val="lrTb"/>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2" w:hRule="atLeast"/>
          <w:jc w:val="center"/>
        </w:trPr>
        <w:tc>
          <w:tcPr>
            <w:tcW w:w="419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电气专业</w:t>
            </w:r>
          </w:p>
        </w:tc>
        <w:tc>
          <w:tcPr>
            <w:tcW w:w="1782" w:type="dxa"/>
            <w:shd w:val="clear" w:color="auto" w:fill="auto"/>
            <w:vAlign w:val="center"/>
          </w:tcPr>
          <w:p>
            <w:pPr>
              <w:jc w:val="center"/>
              <w:rPr>
                <w:rFonts w:hint="eastAsia" w:ascii="宋体" w:hAnsi="宋体" w:eastAsia="宋体" w:cs="宋体"/>
                <w:i w:val="0"/>
                <w:color w:val="000000"/>
                <w:sz w:val="21"/>
                <w:szCs w:val="21"/>
                <w:u w:val="none"/>
              </w:rPr>
            </w:pPr>
          </w:p>
        </w:tc>
        <w:tc>
          <w:tcPr>
            <w:tcW w:w="4470" w:type="dxa"/>
            <w:shd w:val="clear" w:color="auto" w:fill="auto"/>
            <w:vAlign w:val="center"/>
          </w:tcPr>
          <w:p>
            <w:pPr>
              <w:jc w:val="both"/>
              <w:rPr>
                <w:rFonts w:hint="eastAsia" w:ascii="宋体" w:hAnsi="宋体" w:eastAsia="宋体" w:cs="宋体"/>
                <w:i w:val="0"/>
                <w:color w:val="000000"/>
                <w:sz w:val="21"/>
                <w:szCs w:val="21"/>
                <w:u w:val="none"/>
              </w:rPr>
            </w:pPr>
          </w:p>
        </w:tc>
        <w:tc>
          <w:tcPr>
            <w:tcW w:w="1773" w:type="dxa"/>
            <w:shd w:val="clear" w:color="auto" w:fill="auto"/>
            <w:vAlign w:val="center"/>
          </w:tcPr>
          <w:p>
            <w:pPr>
              <w:jc w:val="center"/>
              <w:rPr>
                <w:rFonts w:hint="eastAsia" w:ascii="宋体" w:hAnsi="宋体" w:eastAsia="宋体" w:cs="宋体"/>
                <w:i w:val="0"/>
                <w:color w:val="000000"/>
                <w:sz w:val="21"/>
                <w:szCs w:val="21"/>
                <w:u w:val="none"/>
              </w:rPr>
            </w:pPr>
          </w:p>
        </w:tc>
        <w:tc>
          <w:tcPr>
            <w:tcW w:w="990" w:type="dxa"/>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2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、走廊、楼梯间、门厅、大堂、大空间、地下停车场等场所的照明系统采取分区、定时、感应等节能控制措施。</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8"/>
                <w:lang w:val="en-US" w:eastAsia="zh-CN" w:bidi="ar"/>
              </w:rPr>
            </w:pPr>
            <w:r>
              <w:rPr>
                <w:rFonts w:hint="eastAsia" w:ascii="宋体" w:hAnsi="宋体" w:eastAsia="宋体" w:cs="宋体"/>
                <w:i w:val="0"/>
                <w:color w:val="000000"/>
                <w:kern w:val="0"/>
                <w:sz w:val="21"/>
                <w:szCs w:val="21"/>
                <w:u w:val="none"/>
                <w:lang w:val="en-US" w:eastAsia="zh-CN" w:bidi="ar"/>
              </w:rPr>
              <w:t>走廊、楼梯间、门厅、</w:t>
            </w:r>
            <w:r>
              <w:rPr>
                <w:rStyle w:val="9"/>
                <w:rFonts w:eastAsia="宋体"/>
                <w:lang w:val="en-US" w:eastAsia="zh-CN" w:bidi="ar"/>
              </w:rPr>
              <w:t>大堂</w:t>
            </w:r>
            <w:r>
              <w:rPr>
                <w:rStyle w:val="8"/>
                <w:lang w:val="en-US" w:eastAsia="zh-CN" w:bidi="ar"/>
              </w:rPr>
              <w:t>的照明系统采取的控制措施：□分区、□定时、□光感应、□其他：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8"/>
                <w:rFonts w:hint="eastAsia"/>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8"/>
                <w:lang w:val="en-US" w:eastAsia="zh-CN" w:bidi="ar"/>
              </w:rPr>
            </w:pPr>
            <w:r>
              <w:rPr>
                <w:rFonts w:hint="eastAsia" w:ascii="宋体" w:hAnsi="宋体" w:eastAsia="宋体" w:cs="宋体"/>
                <w:i w:val="0"/>
                <w:color w:val="000000"/>
                <w:kern w:val="0"/>
                <w:sz w:val="21"/>
                <w:szCs w:val="21"/>
                <w:u w:val="none"/>
                <w:lang w:val="en-US" w:eastAsia="zh-CN" w:bidi="ar"/>
              </w:rPr>
              <w:t>大空间的照明系统采取的控制措施：</w:t>
            </w:r>
            <w:r>
              <w:rPr>
                <w:rStyle w:val="8"/>
                <w:lang w:val="en-US" w:eastAsia="zh-CN" w:bidi="ar"/>
              </w:rPr>
              <w:t>□分区、□定时、□光感应、□其他：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8"/>
                <w:rFonts w:hint="eastAsia"/>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8"/>
                <w:lang w:val="en-US" w:eastAsia="zh-CN" w:bidi="ar"/>
              </w:rPr>
            </w:pPr>
            <w:r>
              <w:rPr>
                <w:rFonts w:hint="eastAsia" w:ascii="宋体" w:hAnsi="宋体" w:eastAsia="宋体" w:cs="宋体"/>
                <w:i w:val="0"/>
                <w:color w:val="000000"/>
                <w:kern w:val="0"/>
                <w:sz w:val="21"/>
                <w:szCs w:val="21"/>
                <w:u w:val="none"/>
                <w:lang w:val="en-US" w:eastAsia="zh-CN" w:bidi="ar"/>
              </w:rPr>
              <w:t>地下停车场的照明系统采取的控制措施：</w:t>
            </w:r>
            <w:r>
              <w:rPr>
                <w:rStyle w:val="8"/>
                <w:lang w:val="en-US" w:eastAsia="zh-CN" w:bidi="ar"/>
              </w:rPr>
              <w:t>□分区、□定时、□光感应、□其他：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Style w:val="8"/>
                <w:rFonts w:hint="eastAsia"/>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室外夜景照明采取的控制措施：</w:t>
            </w:r>
            <w:r>
              <w:rPr>
                <w:rStyle w:val="8"/>
                <w:lang w:val="en-US" w:eastAsia="zh-CN" w:bidi="ar"/>
              </w:rPr>
              <w:t>□定时、□光感应、□其他：</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19"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、照明功率密度值达到现行国家标准《建筑照明设计标准》GB 50034 中的目标值规定。</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tbl>
            <w:tblPr>
              <w:tblStyle w:val="7"/>
              <w:tblpPr w:leftFromText="180" w:rightFromText="180" w:vertAnchor="text" w:horzAnchor="page" w:tblpXSpec="center" w:tblpY="-6"/>
              <w:tblOverlap w:val="never"/>
              <w:tblW w:w="4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43"/>
              <w:gridCol w:w="1"/>
              <w:gridCol w:w="844"/>
              <w:gridCol w:w="844"/>
              <w:gridCol w:w="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4" w:type="dxa"/>
                  <w:vMerge w:val="restart"/>
                  <w:textDirection w:val="lrTb"/>
                  <w:vAlign w:val="center"/>
                </w:tcPr>
                <w:p>
                  <w:pPr>
                    <w:adjustRightInd w:val="0"/>
                    <w:snapToGrid w:val="0"/>
                    <w:jc w:val="center"/>
                    <w:rPr>
                      <w:rFonts w:hint="eastAsia" w:cs="宋体" w:asciiTheme="minorEastAsia" w:hAnsiTheme="minorEastAsia"/>
                      <w:w w:val="90"/>
                      <w:kern w:val="0"/>
                    </w:rPr>
                  </w:pPr>
                  <w:r>
                    <w:rPr>
                      <w:rFonts w:hint="eastAsia" w:cs="宋体" w:asciiTheme="minorEastAsia" w:hAnsiTheme="minorEastAsia"/>
                      <w:w w:val="90"/>
                      <w:kern w:val="0"/>
                    </w:rPr>
                    <w:t>房间</w:t>
                  </w:r>
                </w:p>
                <w:p>
                  <w:pPr>
                    <w:adjustRightInd w:val="0"/>
                    <w:snapToGrid w:val="0"/>
                    <w:jc w:val="center"/>
                    <w:rPr>
                      <w:rFonts w:hint="eastAsia" w:eastAsiaTheme="minorEastAsia"/>
                      <w:w w:val="90"/>
                      <w:sz w:val="10"/>
                      <w:szCs w:val="10"/>
                      <w:vertAlign w:val="baseline"/>
                      <w:lang w:val="en-US" w:eastAsia="zh-CN"/>
                    </w:rPr>
                  </w:pPr>
                  <w:r>
                    <w:rPr>
                      <w:rFonts w:hint="eastAsia" w:cs="宋体" w:asciiTheme="minorEastAsia" w:hAnsiTheme="minorEastAsia"/>
                      <w:w w:val="90"/>
                      <w:kern w:val="0"/>
                    </w:rPr>
                    <w:t>类型</w:t>
                  </w:r>
                </w:p>
              </w:tc>
              <w:tc>
                <w:tcPr>
                  <w:tcW w:w="1688" w:type="dxa"/>
                  <w:gridSpan w:val="3"/>
                  <w:textDirection w:val="lrTb"/>
                  <w:vAlign w:val="center"/>
                </w:tcPr>
                <w:p>
                  <w:pPr>
                    <w:adjustRightInd w:val="0"/>
                    <w:snapToGrid w:val="0"/>
                    <w:jc w:val="center"/>
                    <w:rPr>
                      <w:rFonts w:hint="eastAsia" w:cs="宋体" w:asciiTheme="minorEastAsia" w:hAnsiTheme="minorEastAsia"/>
                      <w:w w:val="90"/>
                      <w:kern w:val="0"/>
                    </w:rPr>
                  </w:pPr>
                  <w:r>
                    <w:rPr>
                      <w:rFonts w:hint="eastAsia" w:cs="宋体" w:asciiTheme="minorEastAsia" w:hAnsiTheme="minorEastAsia"/>
                      <w:w w:val="90"/>
                      <w:kern w:val="0"/>
                    </w:rPr>
                    <w:t>设计照度值</w:t>
                  </w:r>
                </w:p>
                <w:p>
                  <w:pPr>
                    <w:adjustRightInd w:val="0"/>
                    <w:snapToGrid w:val="0"/>
                    <w:jc w:val="center"/>
                    <w:rPr>
                      <w:rFonts w:hint="eastAsia" w:eastAsiaTheme="minorEastAsia"/>
                      <w:w w:val="90"/>
                      <w:sz w:val="10"/>
                      <w:szCs w:val="10"/>
                      <w:vertAlign w:val="baseline"/>
                      <w:lang w:val="en-US" w:eastAsia="zh-CN"/>
                    </w:rPr>
                  </w:pPr>
                  <w:r>
                    <w:rPr>
                      <w:rFonts w:ascii="Times New Roman" w:cs="Times New Roman" w:hAnsiTheme="minorEastAsia"/>
                      <w:w w:val="90"/>
                      <w:kern w:val="0"/>
                    </w:rPr>
                    <w:t>（</w:t>
                  </w:r>
                  <w:r>
                    <w:rPr>
                      <w:rFonts w:ascii="Times New Roman" w:hAnsi="Times New Roman" w:cs="Times New Roman"/>
                      <w:w w:val="90"/>
                      <w:kern w:val="0"/>
                    </w:rPr>
                    <w:t>Lx</w:t>
                  </w:r>
                  <w:r>
                    <w:rPr>
                      <w:rFonts w:ascii="Times New Roman" w:cs="Times New Roman" w:hAnsiTheme="minorEastAsia"/>
                      <w:w w:val="90"/>
                      <w:kern w:val="0"/>
                    </w:rPr>
                    <w:t>）</w:t>
                  </w:r>
                </w:p>
              </w:tc>
              <w:tc>
                <w:tcPr>
                  <w:tcW w:w="1691" w:type="dxa"/>
                  <w:gridSpan w:val="3"/>
                  <w:textDirection w:val="lrTb"/>
                  <w:vAlign w:val="center"/>
                </w:tcPr>
                <w:p>
                  <w:pPr>
                    <w:adjustRightInd w:val="0"/>
                    <w:snapToGrid w:val="0"/>
                    <w:jc w:val="center"/>
                    <w:rPr>
                      <w:rFonts w:hint="eastAsia" w:eastAsiaTheme="minorEastAsia"/>
                      <w:w w:val="90"/>
                      <w:sz w:val="10"/>
                      <w:szCs w:val="10"/>
                      <w:vertAlign w:val="baseline"/>
                      <w:lang w:val="en-US" w:eastAsia="zh-CN"/>
                    </w:rPr>
                  </w:pPr>
                  <w:r>
                    <w:rPr>
                      <w:rFonts w:hint="eastAsia" w:cs="宋体" w:asciiTheme="minorEastAsia" w:hAnsiTheme="minorEastAsia"/>
                      <w:w w:val="90"/>
                      <w:kern w:val="0"/>
                    </w:rPr>
                    <w:t>照明功率密度</w:t>
                  </w:r>
                  <w:r>
                    <w:rPr>
                      <w:rFonts w:ascii="Times New Roman" w:cs="Times New Roman" w:hAnsiTheme="minorEastAsia"/>
                      <w:w w:val="90"/>
                      <w:kern w:val="0"/>
                    </w:rPr>
                    <w:t>（</w:t>
                  </w:r>
                  <w:r>
                    <w:rPr>
                      <w:rFonts w:ascii="Times New Roman" w:hAnsi="Times New Roman" w:cs="Times New Roman"/>
                      <w:w w:val="90"/>
                      <w:kern w:val="0"/>
                    </w:rPr>
                    <w:t>W/m</w:t>
                  </w:r>
                  <w:r>
                    <w:rPr>
                      <w:rFonts w:ascii="Times New Roman" w:hAnsi="Times New Roman" w:cs="Times New Roman"/>
                      <w:w w:val="90"/>
                      <w:kern w:val="0"/>
                      <w:vertAlign w:val="superscript"/>
                    </w:rPr>
                    <w:t>2</w:t>
                  </w:r>
                  <w:r>
                    <w:rPr>
                      <w:rFonts w:ascii="Times New Roman" w:hAnsi="Times New Roman" w:cs="Times New Roman"/>
                      <w:w w:val="9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4" w:type="dxa"/>
                  <w:vMerge w:val="continue"/>
                  <w:textDirection w:val="lrTb"/>
                  <w:vAlign w:val="center"/>
                </w:tcPr>
                <w:p>
                  <w:pPr>
                    <w:adjustRightInd w:val="0"/>
                    <w:snapToGrid w:val="0"/>
                    <w:jc w:val="center"/>
                    <w:rPr>
                      <w:rFonts w:hint="eastAsia" w:eastAsiaTheme="minorEastAsia"/>
                      <w:w w:val="90"/>
                      <w:sz w:val="10"/>
                      <w:szCs w:val="10"/>
                      <w:vertAlign w:val="baseline"/>
                      <w:lang w:val="en-US" w:eastAsia="zh-CN"/>
                    </w:rPr>
                  </w:pPr>
                </w:p>
              </w:tc>
              <w:tc>
                <w:tcPr>
                  <w:tcW w:w="843" w:type="dxa"/>
                  <w:textDirection w:val="lrTb"/>
                  <w:vAlign w:val="center"/>
                </w:tcPr>
                <w:p>
                  <w:pPr>
                    <w:adjustRightInd w:val="0"/>
                    <w:snapToGrid w:val="0"/>
                    <w:jc w:val="center"/>
                    <w:rPr>
                      <w:rFonts w:hint="eastAsia" w:eastAsiaTheme="minorEastAsia"/>
                      <w:w w:val="90"/>
                      <w:sz w:val="10"/>
                      <w:szCs w:val="10"/>
                      <w:vertAlign w:val="baseline"/>
                      <w:lang w:val="en-US" w:eastAsia="zh-CN"/>
                    </w:rPr>
                  </w:pPr>
                  <w:r>
                    <w:rPr>
                      <w:rFonts w:hint="eastAsia" w:asciiTheme="minorEastAsia" w:hAnsiTheme="minorEastAsia"/>
                      <w:bCs/>
                      <w:w w:val="90"/>
                      <w:szCs w:val="21"/>
                    </w:rPr>
                    <w:t>实际值</w:t>
                  </w:r>
                </w:p>
              </w:tc>
              <w:tc>
                <w:tcPr>
                  <w:tcW w:w="845" w:type="dxa"/>
                  <w:gridSpan w:val="2"/>
                  <w:textDirection w:val="lrTb"/>
                  <w:vAlign w:val="center"/>
                </w:tcPr>
                <w:p>
                  <w:pPr>
                    <w:adjustRightInd w:val="0"/>
                    <w:snapToGrid w:val="0"/>
                    <w:jc w:val="center"/>
                    <w:rPr>
                      <w:rFonts w:hint="eastAsia" w:eastAsiaTheme="minorEastAsia"/>
                      <w:w w:val="90"/>
                      <w:sz w:val="10"/>
                      <w:szCs w:val="10"/>
                      <w:vertAlign w:val="baseline"/>
                      <w:lang w:val="en-US" w:eastAsia="zh-CN"/>
                    </w:rPr>
                  </w:pPr>
                  <w:r>
                    <w:rPr>
                      <w:rFonts w:hint="eastAsia" w:asciiTheme="minorEastAsia" w:hAnsiTheme="minorEastAsia"/>
                      <w:bCs/>
                      <w:w w:val="90"/>
                      <w:szCs w:val="21"/>
                    </w:rPr>
                    <w:t>标准值</w:t>
                  </w:r>
                </w:p>
              </w:tc>
              <w:tc>
                <w:tcPr>
                  <w:tcW w:w="845" w:type="dxa"/>
                  <w:gridSpan w:val="2"/>
                  <w:textDirection w:val="lrTb"/>
                  <w:vAlign w:val="center"/>
                </w:tcPr>
                <w:p>
                  <w:pPr>
                    <w:adjustRightInd w:val="0"/>
                    <w:snapToGrid w:val="0"/>
                    <w:jc w:val="center"/>
                    <w:rPr>
                      <w:rFonts w:hint="eastAsia" w:eastAsiaTheme="minorEastAsia"/>
                      <w:w w:val="90"/>
                      <w:sz w:val="10"/>
                      <w:szCs w:val="10"/>
                      <w:vertAlign w:val="baseline"/>
                      <w:lang w:val="en-US" w:eastAsia="zh-CN"/>
                    </w:rPr>
                  </w:pPr>
                  <w:r>
                    <w:rPr>
                      <w:rFonts w:hint="eastAsia" w:cs="宋体" w:asciiTheme="minorEastAsia" w:hAnsiTheme="minorEastAsia"/>
                      <w:w w:val="90"/>
                      <w:kern w:val="0"/>
                    </w:rPr>
                    <w:t>实际值</w:t>
                  </w:r>
                </w:p>
              </w:tc>
              <w:tc>
                <w:tcPr>
                  <w:tcW w:w="846" w:type="dxa"/>
                  <w:textDirection w:val="lrTb"/>
                  <w:vAlign w:val="center"/>
                </w:tcPr>
                <w:p>
                  <w:pPr>
                    <w:widowControl/>
                    <w:jc w:val="center"/>
                    <w:rPr>
                      <w:rFonts w:hint="eastAsia" w:eastAsiaTheme="minorEastAsia"/>
                      <w:w w:val="90"/>
                      <w:sz w:val="10"/>
                      <w:szCs w:val="10"/>
                      <w:vertAlign w:val="baseline"/>
                      <w:lang w:val="en-US" w:eastAsia="zh-CN"/>
                    </w:rPr>
                  </w:pPr>
                  <w:r>
                    <w:rPr>
                      <w:rFonts w:hint="eastAsia" w:cs="宋体" w:asciiTheme="minorEastAsia" w:hAnsiTheme="minorEastAsia"/>
                      <w:w w:val="90"/>
                      <w:kern w:val="0"/>
                    </w:rPr>
                    <w:t>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7"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7"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7"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outlineLvl w:val="9"/>
              <w:rPr>
                <w:rFonts w:hint="eastAsia" w:eastAsiaTheme="minorEastAsia"/>
                <w:sz w:val="10"/>
                <w:szCs w:val="10"/>
                <w:vertAlign w:val="baseline"/>
                <w:lang w:val="en-US" w:eastAsia="zh-CN"/>
              </w:rPr>
            </w:pPr>
            <w:r>
              <w:rPr>
                <w:rFonts w:hint="eastAsia"/>
                <w:sz w:val="10"/>
                <w:szCs w:val="10"/>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outlineLvl w:val="9"/>
              <w:rPr>
                <w:rFonts w:hint="eastAsia" w:eastAsiaTheme="minorEastAsia"/>
                <w:sz w:val="10"/>
                <w:szCs w:val="10"/>
                <w:lang w:val="en-US" w:eastAsia="zh-CN"/>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5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、合理选用电梯，并采取电梯群控节能控制措施。未设或设有一</w:t>
            </w:r>
            <w:r>
              <w:rPr>
                <w:rStyle w:val="8"/>
                <w:lang w:val="en-US" w:eastAsia="zh-CN" w:bidi="ar"/>
              </w:rPr>
              <w:t>部</w:t>
            </w:r>
            <w:r>
              <w:rPr>
                <w:rStyle w:val="9"/>
                <w:rFonts w:eastAsia="宋体"/>
                <w:lang w:val="en-US" w:eastAsia="zh-CN" w:bidi="ar"/>
              </w:rPr>
              <w:t>电梯的建筑本条直接判定为</w:t>
            </w:r>
            <w:r>
              <w:rPr>
                <w:rStyle w:val="8"/>
                <w:lang w:val="en-US" w:eastAsia="zh-CN" w:bidi="ar"/>
              </w:rPr>
              <w:t>达标</w:t>
            </w:r>
            <w:r>
              <w:rPr>
                <w:rStyle w:val="9"/>
                <w:rFonts w:eastAsia="宋体"/>
                <w:lang w:val="en-US" w:eastAsia="zh-CN" w:bidi="ar"/>
              </w:rPr>
              <w:t>。</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设置电梯：□是、□否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采取节能控制措施：□是、□否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w:t>
            </w:r>
            <w:r>
              <w:rPr>
                <w:rStyle w:val="9"/>
                <w:rFonts w:eastAsia="宋体"/>
                <w:lang w:val="en-US" w:eastAsia="zh-CN" w:bidi="ar"/>
              </w:rPr>
              <w:t>、合理选用节能型电气设备。</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）、三相配电变压器满足现行国家标准《三相配电变压器能效限定值及能效等级》GB 20052的节能评价值要求。</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）、水泵、风机等其他电气装置满足相关现行国家标准的节能评价值要求。</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）、对于三相不平衡或采用单相配电的供配电系统，应采用分相无功自动补偿装置。</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r>
              <w:rPr>
                <w:rStyle w:val="9"/>
                <w:rFonts w:eastAsia="宋体"/>
                <w:lang w:val="en-US" w:eastAsia="zh-CN" w:bidi="ar"/>
              </w:rPr>
              <w:t>）、当供配电系统谐波或设备谐波超出国家或地方标准的谐波限值规定时，宜对建筑内的主要电气和电子设备或其所在线路采取高次谐波抑制和治理。</w:t>
            </w:r>
            <w:r>
              <w:rPr>
                <w:rStyle w:val="8"/>
                <w:lang w:val="en-US" w:eastAsia="zh-CN" w:bidi="ar"/>
              </w:rPr>
              <w:t>未超出限值时直接判定为达标。</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w:t>
            </w:r>
            <w:r>
              <w:rPr>
                <w:rStyle w:val="8"/>
                <w:lang w:val="en-US" w:eastAsia="zh-CN" w:bidi="ar"/>
              </w:rPr>
              <w:t>三相配电变压器满足现行国家标准《三相配电变压器能效限定值及能效等级》</w:t>
            </w:r>
            <w:r>
              <w:rPr>
                <w:rStyle w:val="9"/>
                <w:rFonts w:eastAsia="宋体"/>
                <w:lang w:val="en-US" w:eastAsia="zh-CN" w:bidi="ar"/>
              </w:rPr>
              <w:t>GB 20052</w:t>
            </w:r>
            <w:r>
              <w:rPr>
                <w:rStyle w:val="8"/>
                <w:lang w:val="en-US" w:eastAsia="zh-CN" w:bidi="ar"/>
              </w:rPr>
              <w:t>的节能评价值要求，□是、□否。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w:t>
            </w:r>
            <w:r>
              <w:rPr>
                <w:rStyle w:val="8"/>
                <w:lang w:val="en-US" w:eastAsia="zh-CN" w:bidi="ar"/>
              </w:rPr>
              <w:t>水泵、风机等其他电气装置满足相关现行国家标准的节能评价值要求，□是、□否。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w:t>
            </w:r>
            <w:r>
              <w:rPr>
                <w:rStyle w:val="8"/>
                <w:lang w:val="en-US" w:eastAsia="zh-CN" w:bidi="ar"/>
              </w:rPr>
              <w:t>供配电系统采用无功自动补偿装置，□是、□否。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r>
              <w:rPr>
                <w:rStyle w:val="9"/>
                <w:rFonts w:eastAsia="宋体"/>
                <w:lang w:val="en-US" w:eastAsia="zh-CN" w:bidi="ar"/>
              </w:rPr>
              <w:t>、</w:t>
            </w:r>
            <w:r>
              <w:rPr>
                <w:rStyle w:val="8"/>
                <w:lang w:val="en-US" w:eastAsia="zh-CN" w:bidi="ar"/>
              </w:rPr>
              <w:t>当供配电系统谐波或设备谐波超出国家或地方标准的谐波限值规定时，宜对建筑内的主要电气和电子设备或其所在线路采取高次谐波抑制和治理，□是、□否。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5" w:hRule="atLeast"/>
          <w:jc w:val="center"/>
        </w:trPr>
        <w:tc>
          <w:tcPr>
            <w:tcW w:w="4192" w:type="dxa"/>
            <w:vMerge w:val="restart"/>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8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470" w:type="dxa"/>
            <w:vMerge w:val="restart"/>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9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5" w:hRule="atLeast"/>
          <w:jc w:val="center"/>
        </w:trPr>
        <w:tc>
          <w:tcPr>
            <w:tcW w:w="4192" w:type="dxa"/>
            <w:vMerge w:val="continue"/>
            <w:shd w:val="clear" w:color="auto" w:fill="auto"/>
            <w:textDirection w:val="lrTb"/>
            <w:vAlign w:val="center"/>
          </w:tcPr>
          <w:p>
            <w:pPr>
              <w:jc w:val="both"/>
              <w:rPr>
                <w:rFonts w:hint="default" w:ascii="Times New Roman" w:hAnsi="Times New Roman" w:eastAsia="宋体" w:cs="Times New Roman"/>
                <w:i w:val="0"/>
                <w:color w:val="000000"/>
                <w:kern w:val="0"/>
                <w:sz w:val="21"/>
                <w:szCs w:val="21"/>
                <w:u w:val="none"/>
                <w:lang w:val="en-US" w:eastAsia="zh-CN" w:bidi="ar"/>
              </w:rPr>
            </w:pPr>
          </w:p>
        </w:tc>
        <w:tc>
          <w:tcPr>
            <w:tcW w:w="1782"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470" w:type="dxa"/>
            <w:vMerge w:val="continue"/>
            <w:shd w:val="clear" w:color="auto" w:fill="auto"/>
            <w:textDirection w:val="lrTb"/>
            <w:vAlign w:val="center"/>
          </w:tcPr>
          <w:p>
            <w:pPr>
              <w:jc w:val="both"/>
              <w:rPr>
                <w:rFonts w:hint="default" w:ascii="Times New Roman" w:hAnsi="Times New Roman" w:eastAsia="宋体" w:cs="Times New Roman"/>
                <w:i w:val="0"/>
                <w:color w:val="000000"/>
                <w:kern w:val="0"/>
                <w:sz w:val="21"/>
                <w:szCs w:val="21"/>
                <w:u w:val="none"/>
                <w:lang w:val="en-US" w:eastAsia="zh-CN" w:bidi="ar"/>
              </w:rPr>
            </w:pPr>
          </w:p>
        </w:tc>
        <w:tc>
          <w:tcPr>
            <w:tcW w:w="1773"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90" w:type="dxa"/>
            <w:vMerge w:val="continue"/>
            <w:shd w:val="clear" w:color="auto" w:fill="auto"/>
            <w:textDirection w:val="lrTb"/>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1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r>
              <w:rPr>
                <w:rStyle w:val="9"/>
                <w:rFonts w:eastAsia="宋体"/>
                <w:lang w:val="en-US" w:eastAsia="zh-CN" w:bidi="ar"/>
              </w:rPr>
              <w:t>、室外夜景照明光污染的限制符合现行行业标准《城市夜景照明设计规范》JGJ/T 163的规定。</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项目设室外夜景照明：□是、□否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如设室外夜景照明：</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夜景照明设施在居住建筑窗户外表面产生的垂直面照度不应大于规定值：□是、□否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夜景照明灯具朝居室方向的发光强度不应大于规定值：□是、□否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居住区和步行区的夜景照明设施应避免对行人和非机动车人造成眩光：□是、□否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夜景照明灯具上的射光通比的最大值不应大于规定值：□是、□否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室外景观照明是否有直射光射入空中：□是、□否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夜景照明在建筑立面和标识面产生的平均亮度不应大于规定值：□是、□否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电气</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6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21"/>
                <w:szCs w:val="21"/>
                <w:u w:val="none"/>
              </w:rPr>
            </w:pPr>
            <w:r>
              <w:rPr>
                <w:rFonts w:hint="default" w:ascii="宋体" w:hAnsi="宋体" w:eastAsia="宋体" w:cs="宋体"/>
                <w:i w:val="0"/>
                <w:color w:val="000000"/>
                <w:kern w:val="0"/>
                <w:sz w:val="21"/>
                <w:szCs w:val="21"/>
                <w:u w:val="none"/>
                <w:lang w:val="en-US" w:eastAsia="zh-CN" w:bidi="ar"/>
              </w:rPr>
              <w:fldChar w:fldCharType="begin"/>
            </w:r>
            <w:r>
              <w:rPr>
                <w:rFonts w:hint="default" w:ascii="宋体" w:hAnsi="宋体" w:eastAsia="宋体" w:cs="宋体"/>
                <w:i w:val="0"/>
                <w:color w:val="000000"/>
                <w:kern w:val="0"/>
                <w:sz w:val="21"/>
                <w:szCs w:val="21"/>
                <w:u w:val="none"/>
                <w:lang w:val="en-US" w:eastAsia="zh-CN" w:bidi="ar"/>
              </w:rPr>
              <w:instrText xml:space="preserve"> HYPERLINK "http://www.spsp.gov.cn/page/P1828/593.shtml" \o "" </w:instrText>
            </w:r>
            <w:r>
              <w:rPr>
                <w:rFonts w:hint="default" w:ascii="宋体" w:hAnsi="宋体" w:eastAsia="宋体" w:cs="宋体"/>
                <w:i w:val="0"/>
                <w:color w:val="000000"/>
                <w:kern w:val="0"/>
                <w:sz w:val="21"/>
                <w:szCs w:val="21"/>
                <w:u w:val="none"/>
                <w:lang w:val="en-US" w:eastAsia="zh-CN" w:bidi="ar"/>
              </w:rPr>
              <w:fldChar w:fldCharType="separate"/>
            </w:r>
            <w:r>
              <w:rPr>
                <w:rFonts w:hint="default" w:ascii="宋体" w:hAnsi="宋体" w:eastAsia="宋体" w:cs="宋体"/>
                <w:i w:val="0"/>
                <w:color w:val="000000"/>
                <w:kern w:val="0"/>
                <w:sz w:val="21"/>
                <w:szCs w:val="21"/>
                <w:u w:val="none"/>
                <w:lang w:val="en-US" w:eastAsia="zh-CN" w:bidi="ar"/>
              </w:rPr>
              <w:t>6、居住建筑的智能化系统满足现行行业标准《居住区智能化系统配置与技术要求》CJ/T174和国家标准《智能化建筑设计标准》 GB 50314的基本配置要求。</w:t>
            </w:r>
            <w:r>
              <w:rPr>
                <w:rFonts w:hint="default" w:ascii="宋体" w:hAnsi="宋体" w:eastAsia="宋体" w:cs="宋体"/>
                <w:i w:val="0"/>
                <w:color w:val="000000"/>
                <w:kern w:val="0"/>
                <w:sz w:val="21"/>
                <w:szCs w:val="21"/>
                <w:u w:val="none"/>
                <w:lang w:val="en-US" w:eastAsia="zh-CN" w:bidi="ar"/>
              </w:rPr>
              <w:fldChar w:fldCharType="end"/>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满足项小计（至少满足</w:t>
            </w:r>
            <w:r>
              <w:rPr>
                <w:rStyle w:val="9"/>
                <w:rFonts w:eastAsia="宋体"/>
                <w:lang w:val="en-US" w:eastAsia="zh-CN" w:bidi="ar"/>
              </w:rPr>
              <w:t>3项）</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Style w:val="8"/>
                <w:lang w:val="en-US" w:eastAsia="zh-CN" w:bidi="ar"/>
              </w:rPr>
              <w:t>项</w:t>
            </w: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提高创新项</w:t>
            </w:r>
          </w:p>
        </w:tc>
        <w:tc>
          <w:tcPr>
            <w:tcW w:w="17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single"/>
              </w:rPr>
            </w:pP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single"/>
              </w:rPr>
            </w:pP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1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9"/>
                <w:rFonts w:eastAsia="宋体"/>
                <w:lang w:val="en-US" w:eastAsia="zh-CN" w:bidi="ar"/>
              </w:rPr>
              <w:t>、采用资源消耗少和环境影响小的建筑结构。当主体结构采用钢结构、木结构，或预制构件用量比例不小于60%时，达标。</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、合理选用废弃场地进行建设，或充分利用尚可使用的旧建筑。</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9"/>
                <w:rFonts w:eastAsia="宋体"/>
                <w:lang w:val="en-US" w:eastAsia="zh-CN" w:bidi="ar"/>
              </w:rPr>
              <w:t>、应用建筑信息模型（BIM ）技术。</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提高创新项小计</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Style w:val="8"/>
                <w:u w:val="single"/>
                <w:lang w:val="en-US" w:eastAsia="zh-CN" w:bidi="ar"/>
              </w:rPr>
              <w:t xml:space="preserve">      </w:t>
            </w:r>
            <w:r>
              <w:rPr>
                <w:rStyle w:val="8"/>
                <w:lang w:val="en-US" w:eastAsia="zh-CN" w:bidi="ar"/>
              </w:rPr>
              <w:t>项</w:t>
            </w: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0"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总项合计</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Style w:val="8"/>
                <w:u w:val="single"/>
                <w:lang w:val="en-US" w:eastAsia="zh-CN" w:bidi="ar"/>
              </w:rPr>
              <w:t xml:space="preserve">      </w:t>
            </w:r>
            <w:r>
              <w:rPr>
                <w:rStyle w:val="8"/>
                <w:lang w:val="en-US" w:eastAsia="zh-CN" w:bidi="ar"/>
              </w:rPr>
              <w:t>项</w:t>
            </w: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jc w:val="center"/>
        </w:trPr>
        <w:tc>
          <w:tcPr>
            <w:tcW w:w="41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综合评价</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□合格/□不合格</w:t>
            </w:r>
          </w:p>
        </w:tc>
        <w:tc>
          <w:tcPr>
            <w:tcW w:w="44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□合格/□不合格</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bl>
    <w:p>
      <w:pPr>
        <w:adjustRightInd w:val="0"/>
        <w:snapToGrid w:val="0"/>
        <w:rPr>
          <w:szCs w:val="21"/>
        </w:rPr>
      </w:pPr>
      <w:r>
        <w:rPr>
          <w:rFonts w:hint="eastAsia" w:asciiTheme="minorEastAsia" w:hAnsiTheme="minorEastAsia"/>
          <w:szCs w:val="21"/>
        </w:rPr>
        <w:t>注：各个专业达到项数要求，且一般项总项数需达到</w:t>
      </w:r>
      <w:r>
        <w:rPr>
          <w:rFonts w:hint="eastAsia" w:asciiTheme="minorEastAsia" w:hAnsiTheme="minorEastAsia"/>
          <w:szCs w:val="21"/>
          <w:u w:val="single"/>
        </w:rPr>
        <w:t>　</w:t>
      </w:r>
      <w:r>
        <w:rPr>
          <w:rFonts w:ascii="Times New Roman" w:hAnsi="Times New Roman" w:cs="Times New Roman"/>
          <w:b/>
          <w:szCs w:val="21"/>
          <w:u w:val="single"/>
        </w:rPr>
        <w:t>29</w:t>
      </w:r>
      <w:r>
        <w:rPr>
          <w:rFonts w:hint="eastAsia" w:asciiTheme="minorEastAsia" w:hAnsiTheme="minorEastAsia"/>
          <w:szCs w:val="21"/>
          <w:u w:val="single"/>
        </w:rPr>
        <w:t>　</w:t>
      </w:r>
      <w:r>
        <w:rPr>
          <w:rFonts w:hint="eastAsia" w:asciiTheme="minorEastAsia" w:hAnsiTheme="minorEastAsia"/>
          <w:szCs w:val="21"/>
        </w:rPr>
        <w:t>项，可判定为综合评价合格。</w:t>
      </w:r>
    </w:p>
    <w:p>
      <w:pPr>
        <w:ind w:left="8400" w:leftChars="4000"/>
        <w:rPr>
          <w:rFonts w:hint="eastAsia"/>
          <w:szCs w:val="21"/>
        </w:rPr>
      </w:pPr>
    </w:p>
    <w:p>
      <w:pPr>
        <w:ind w:left="8400" w:leftChars="4000"/>
        <w:rPr>
          <w:szCs w:val="21"/>
        </w:rPr>
      </w:pPr>
      <w:r>
        <w:rPr>
          <w:rFonts w:hint="eastAsia"/>
          <w:szCs w:val="21"/>
        </w:rPr>
        <w:t>编制：  　      　校对：          　审核：  　  　 　</w:t>
      </w:r>
    </w:p>
    <w:p>
      <w:pPr>
        <w:ind w:left="8400" w:leftChars="4000"/>
        <w:rPr>
          <w:rFonts w:hint="eastAsia"/>
          <w:szCs w:val="21"/>
        </w:rPr>
      </w:pPr>
    </w:p>
    <w:p>
      <w:pPr>
        <w:ind w:left="8400" w:leftChars="4000"/>
        <w:rPr>
          <w:rFonts w:hint="eastAsia"/>
          <w:szCs w:val="21"/>
        </w:rPr>
      </w:pPr>
    </w:p>
    <w:p>
      <w:pPr>
        <w:ind w:left="8400" w:leftChars="4000"/>
        <w:rPr>
          <w:szCs w:val="21"/>
        </w:rPr>
      </w:pPr>
      <w:r>
        <w:rPr>
          <w:rFonts w:hint="eastAsia"/>
          <w:szCs w:val="21"/>
        </w:rPr>
        <w:t xml:space="preserve">单位（盖章）：  </w:t>
      </w:r>
    </w:p>
    <w:p>
      <w:pPr>
        <w:rPr>
          <w:rFonts w:hint="eastAsia"/>
          <w:szCs w:val="21"/>
          <w:lang w:val="en-US" w:eastAsia="zh-CN"/>
        </w:rPr>
      </w:pPr>
      <w:r>
        <w:rPr>
          <w:rFonts w:hint="eastAsia"/>
          <w:szCs w:val="21"/>
          <w:lang w:val="en-US" w:eastAsia="zh-CN"/>
        </w:rPr>
        <w:t xml:space="preserve">                                                                               </w:t>
      </w:r>
    </w:p>
    <w:p>
      <w:pPr>
        <w:rPr>
          <w:rFonts w:hint="eastAsia"/>
          <w:szCs w:val="21"/>
          <w:lang w:val="en-US" w:eastAsia="zh-CN"/>
        </w:rPr>
      </w:pPr>
    </w:p>
    <w:p>
      <w:pPr/>
      <w:r>
        <w:rPr>
          <w:rFonts w:hint="eastAsia"/>
          <w:szCs w:val="21"/>
          <w:lang w:val="en-US" w:eastAsia="zh-CN"/>
        </w:rPr>
        <w:t xml:space="preserve">                                                                                </w:t>
      </w:r>
      <w:r>
        <w:rPr>
          <w:rFonts w:hint="eastAsia"/>
          <w:szCs w:val="21"/>
        </w:rPr>
        <w:t>日期：        年      月       日</w:t>
      </w:r>
    </w:p>
    <w:sectPr>
      <w:headerReference r:id="rId3" w:type="default"/>
      <w:footerReference r:id="rId4" w:type="default"/>
      <w:pgSz w:w="16783" w:h="23757"/>
      <w:pgMar w:top="1440" w:right="1800" w:bottom="1440" w:left="1800" w:header="851" w:footer="992" w:gutter="0"/>
      <w:pgNumType w:fmt="decimal"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A4054"/>
    <w:rsid w:val="18955296"/>
    <w:rsid w:val="18F32328"/>
    <w:rsid w:val="1B8A4054"/>
    <w:rsid w:val="24BF37A6"/>
    <w:rsid w:val="3A2B5730"/>
    <w:rsid w:val="598976D9"/>
    <w:rsid w:val="62C83703"/>
    <w:rsid w:val="74F133A7"/>
    <w:rsid w:val="7D0B7C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21"/>
    <w:basedOn w:val="4"/>
    <w:qFormat/>
    <w:uiPriority w:val="0"/>
    <w:rPr>
      <w:rFonts w:hint="eastAsia" w:ascii="宋体" w:hAnsi="宋体" w:eastAsia="宋体" w:cs="宋体"/>
      <w:color w:val="000000"/>
      <w:sz w:val="21"/>
      <w:szCs w:val="21"/>
      <w:u w:val="none"/>
    </w:rPr>
  </w:style>
  <w:style w:type="character" w:customStyle="1" w:styleId="9">
    <w:name w:val="font91"/>
    <w:basedOn w:val="4"/>
    <w:qFormat/>
    <w:uiPriority w:val="0"/>
    <w:rPr>
      <w:rFonts w:hint="default" w:ascii="Times New Roman" w:hAnsi="Times New Roman" w:cs="Times New Roman"/>
      <w:color w:val="000000"/>
      <w:sz w:val="21"/>
      <w:szCs w:val="21"/>
      <w:u w:val="none"/>
    </w:rPr>
  </w:style>
  <w:style w:type="character" w:customStyle="1" w:styleId="10">
    <w:name w:val="font51"/>
    <w:basedOn w:val="4"/>
    <w:qFormat/>
    <w:uiPriority w:val="0"/>
    <w:rPr>
      <w:rFonts w:hint="default" w:ascii="Times New Roman" w:hAnsi="Times New Roman" w:cs="Times New Roman"/>
      <w:color w:val="000000"/>
      <w:sz w:val="21"/>
      <w:szCs w:val="21"/>
      <w:u w:val="none"/>
      <w:vertAlign w:val="superscript"/>
    </w:rPr>
  </w:style>
  <w:style w:type="character" w:customStyle="1" w:styleId="11">
    <w:name w:val="font71"/>
    <w:basedOn w:val="4"/>
    <w:qFormat/>
    <w:uiPriority w:val="0"/>
    <w:rPr>
      <w:rFonts w:hint="default" w:ascii="Times New Roman" w:hAnsi="Times New Roman" w:cs="Times New Roman"/>
      <w:color w:val="000000"/>
      <w:sz w:val="21"/>
      <w:szCs w:val="21"/>
      <w:u w:val="single"/>
    </w:rPr>
  </w:style>
  <w:style w:type="character" w:customStyle="1" w:styleId="12">
    <w:name w:val="font31"/>
    <w:basedOn w:val="4"/>
    <w:qFormat/>
    <w:uiPriority w:val="0"/>
    <w:rPr>
      <w:rFonts w:hint="eastAsia" w:ascii="宋体" w:hAnsi="宋体" w:eastAsia="宋体" w:cs="宋体"/>
      <w:color w:val="000000"/>
      <w:sz w:val="21"/>
      <w:szCs w:val="21"/>
      <w:u w:val="single"/>
    </w:rPr>
  </w:style>
  <w:style w:type="character" w:customStyle="1" w:styleId="13">
    <w:name w:val="font61"/>
    <w:basedOn w:val="4"/>
    <w:qFormat/>
    <w:uiPriority w:val="0"/>
    <w:rPr>
      <w:rFonts w:hint="default" w:ascii="Times New Roman" w:hAnsi="Times New Roman" w:cs="Times New Roman"/>
      <w:color w:val="000000"/>
      <w:sz w:val="21"/>
      <w:szCs w:val="21"/>
      <w:u w:val="single"/>
    </w:rPr>
  </w:style>
  <w:style w:type="character" w:customStyle="1" w:styleId="14">
    <w:name w:val="font11"/>
    <w:basedOn w:val="4"/>
    <w:qFormat/>
    <w:uiPriority w:val="0"/>
    <w:rPr>
      <w:rFonts w:hint="default" w:ascii="Times New Roman" w:hAnsi="Times New Roman" w:cs="Times New Roman"/>
      <w:color w:val="000000"/>
      <w:sz w:val="21"/>
      <w:szCs w:val="21"/>
      <w:u w:val="none"/>
    </w:rPr>
  </w:style>
  <w:style w:type="character" w:customStyle="1" w:styleId="15">
    <w:name w:val="font01"/>
    <w:basedOn w:val="4"/>
    <w:qFormat/>
    <w:uiPriority w:val="0"/>
    <w:rPr>
      <w:rFonts w:hint="default" w:ascii="Times New Roman" w:hAnsi="Times New Roman" w:cs="Times New Roman"/>
      <w:color w:val="000000"/>
      <w:sz w:val="21"/>
      <w:szCs w:val="21"/>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2016-06-12T09:25:00Z</dcterms:created>
  <dc:creator>jnbjnyk</dc:creator>
  <cp:lastModifiedBy>jnbjnyk</cp:lastModifiedBy>
  <cp:lastPrinted>2016-06-13T02:02:00Z</cp:lastPrinted>
  <dcterms:modified xsi:type="dcterms:W3CDTF">2016-06-13T03:06:07Z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