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right="0" w:rightChars="0" w:firstLine="0" w:firstLineChars="0"/>
        <w:jc w:val="center"/>
        <w:textAlignment w:val="auto"/>
        <w:outlineLvl w:val="9"/>
        <w:rPr>
          <w:rFonts w:hint="eastAsia" w:ascii="黑体" w:hAnsi="黑体" w:eastAsia="黑体" w:cs="黑体"/>
          <w:b w:val="0"/>
          <w:bCs/>
          <w:szCs w:val="21"/>
        </w:rPr>
      </w:pPr>
      <w:r>
        <w:rPr>
          <w:rFonts w:hint="eastAsia" w:ascii="黑体" w:hAnsi="黑体" w:eastAsia="黑体" w:cs="黑体"/>
          <w:b w:val="0"/>
          <w:bCs/>
          <w:sz w:val="28"/>
          <w:szCs w:val="28"/>
        </w:rPr>
        <w:t>附表1  沈阳市居住建筑绿色建筑施工图审查要点评定表一（控制项）</w:t>
      </w:r>
    </w:p>
    <w:tbl>
      <w:tblPr>
        <w:tblStyle w:val="5"/>
        <w:tblW w:w="132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3067"/>
        <w:gridCol w:w="1680"/>
        <w:gridCol w:w="5730"/>
        <w:gridCol w:w="1800"/>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539" w:hRule="atLeast"/>
          <w:jc w:val="center"/>
        </w:trPr>
        <w:tc>
          <w:tcPr>
            <w:tcW w:w="3067"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条文</w:t>
            </w:r>
          </w:p>
        </w:tc>
        <w:tc>
          <w:tcPr>
            <w:tcW w:w="16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自评达标情况</w:t>
            </w:r>
          </w:p>
        </w:tc>
        <w:tc>
          <w:tcPr>
            <w:tcW w:w="573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自评材料</w:t>
            </w:r>
          </w:p>
        </w:tc>
        <w:tc>
          <w:tcPr>
            <w:tcW w:w="1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审查评定意见</w:t>
            </w:r>
          </w:p>
        </w:tc>
        <w:tc>
          <w:tcPr>
            <w:tcW w:w="945"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5" w:hRule="atLeast"/>
          <w:jc w:val="center"/>
        </w:trPr>
        <w:tc>
          <w:tcPr>
            <w:tcW w:w="3067" w:type="dxa"/>
            <w:vMerge w:val="continue"/>
            <w:shd w:val="clear" w:color="auto" w:fill="auto"/>
            <w:vAlign w:val="center"/>
          </w:tcPr>
          <w:p>
            <w:pPr>
              <w:jc w:val="center"/>
              <w:rPr>
                <w:rFonts w:hint="eastAsia" w:ascii="宋体" w:hAnsi="宋体" w:eastAsia="宋体" w:cs="宋体"/>
                <w:i w:val="0"/>
                <w:color w:val="000000"/>
                <w:sz w:val="21"/>
                <w:szCs w:val="21"/>
                <w:u w:val="none"/>
              </w:rPr>
            </w:pPr>
          </w:p>
        </w:tc>
        <w:tc>
          <w:tcPr>
            <w:tcW w:w="16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w:t>
            </w:r>
          </w:p>
        </w:tc>
        <w:tc>
          <w:tcPr>
            <w:tcW w:w="5730" w:type="dxa"/>
            <w:vMerge w:val="continue"/>
            <w:shd w:val="clear" w:color="auto" w:fill="auto"/>
            <w:vAlign w:val="top"/>
          </w:tcPr>
          <w:p>
            <w:pPr>
              <w:jc w:val="center"/>
              <w:rPr>
                <w:rFonts w:hint="eastAsia" w:ascii="宋体" w:hAnsi="宋体" w:eastAsia="宋体" w:cs="宋体"/>
                <w:i w:val="0"/>
                <w:color w:val="000000"/>
                <w:sz w:val="21"/>
                <w:szCs w:val="21"/>
                <w:u w:val="none"/>
              </w:rPr>
            </w:pPr>
          </w:p>
        </w:tc>
        <w:tc>
          <w:tcPr>
            <w:tcW w:w="1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45" w:type="dxa"/>
            <w:vMerge w:val="continue"/>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2" w:hRule="atLeast"/>
          <w:jc w:val="center"/>
        </w:trPr>
        <w:tc>
          <w:tcPr>
            <w:tcW w:w="3067"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建筑专业</w:t>
            </w:r>
          </w:p>
        </w:tc>
        <w:tc>
          <w:tcPr>
            <w:tcW w:w="1680" w:type="dxa"/>
            <w:shd w:val="clear" w:color="auto" w:fill="auto"/>
            <w:vAlign w:val="center"/>
          </w:tcPr>
          <w:p>
            <w:pPr>
              <w:jc w:val="center"/>
              <w:rPr>
                <w:rFonts w:hint="eastAsia" w:ascii="Calibri" w:hAnsi="Calibri" w:eastAsia="宋体" w:cs="Calibri"/>
                <w:i w:val="0"/>
                <w:color w:val="000000"/>
                <w:sz w:val="21"/>
                <w:szCs w:val="21"/>
                <w:u w:val="none"/>
              </w:rPr>
            </w:pPr>
          </w:p>
        </w:tc>
        <w:tc>
          <w:tcPr>
            <w:tcW w:w="5730" w:type="dxa"/>
            <w:shd w:val="clear" w:color="auto" w:fill="auto"/>
            <w:vAlign w:val="top"/>
          </w:tcPr>
          <w:p>
            <w:pPr>
              <w:jc w:val="both"/>
              <w:rPr>
                <w:rFonts w:hint="default" w:ascii="Calibri" w:hAnsi="Calibri" w:eastAsia="宋体" w:cs="Calibri"/>
                <w:i w:val="0"/>
                <w:color w:val="000000"/>
                <w:sz w:val="21"/>
                <w:szCs w:val="21"/>
                <w:u w:val="none"/>
              </w:rPr>
            </w:pPr>
          </w:p>
        </w:tc>
        <w:tc>
          <w:tcPr>
            <w:tcW w:w="1800" w:type="dxa"/>
            <w:shd w:val="clear" w:color="auto" w:fill="auto"/>
            <w:vAlign w:val="center"/>
          </w:tcPr>
          <w:p>
            <w:pPr>
              <w:jc w:val="center"/>
              <w:rPr>
                <w:rFonts w:hint="default" w:ascii="Calibri" w:hAnsi="Calibri" w:eastAsia="宋体" w:cs="Calibri"/>
                <w:i w:val="0"/>
                <w:color w:val="000000"/>
                <w:sz w:val="21"/>
                <w:szCs w:val="21"/>
                <w:u w:val="none"/>
              </w:rPr>
            </w:pPr>
          </w:p>
        </w:tc>
        <w:tc>
          <w:tcPr>
            <w:tcW w:w="945" w:type="dxa"/>
            <w:shd w:val="clear" w:color="auto" w:fill="auto"/>
            <w:vAlign w:val="center"/>
          </w:tcPr>
          <w:p>
            <w:pPr>
              <w:jc w:val="center"/>
              <w:rPr>
                <w:rFonts w:hint="default" w:ascii="Calibri" w:hAnsi="Calibri" w:eastAsia="宋体" w:cs="Calibri"/>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898" w:hRule="atLeast"/>
          <w:jc w:val="center"/>
        </w:trPr>
        <w:tc>
          <w:tcPr>
            <w:tcW w:w="3067" w:type="dxa"/>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1、项目选址应符合沈阳市城乡规划，且应符合各类保护区、文物古迹保护的建设控制要求。</w:t>
            </w:r>
          </w:p>
        </w:tc>
        <w:tc>
          <w:tcPr>
            <w:tcW w:w="16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w:t>
            </w:r>
          </w:p>
        </w:tc>
        <w:tc>
          <w:tcPr>
            <w:tcW w:w="5730" w:type="dxa"/>
            <w:shd w:val="clear" w:color="auto" w:fill="auto"/>
            <w:vAlign w:val="top"/>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场地内是否有以下各类保护区:</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□基本农田保护区、□风景名胜区、□自然保护区、□历史文化名城名镇名村、□历史文化街区、□其他保护区、□以上皆无。</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场地内是否有以下各类文物古迹：</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□文物保护单位、□保护建筑、□历史建筑、□以上皆无。</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简要说明项目选址的建设用地属性以及场地内地形、资源情况： </w:t>
            </w:r>
          </w:p>
        </w:tc>
        <w:tc>
          <w:tcPr>
            <w:tcW w:w="1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20" w:hRule="atLeast"/>
          <w:jc w:val="center"/>
        </w:trPr>
        <w:tc>
          <w:tcPr>
            <w:tcW w:w="3067" w:type="dxa"/>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 场地应无洪涝、滑坡、泥石流等自然灾害的威胁，无危险化学品、易燃易爆危险源的威胁，无电磁辐射、含氡土壤等危害。</w:t>
            </w:r>
          </w:p>
        </w:tc>
        <w:tc>
          <w:tcPr>
            <w:tcW w:w="16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w:t>
            </w:r>
          </w:p>
        </w:tc>
        <w:tc>
          <w:tcPr>
            <w:tcW w:w="5730" w:type="dxa"/>
            <w:shd w:val="clear" w:color="auto" w:fill="auto"/>
            <w:vAlign w:val="top"/>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场地选址附近是否有以下威胁或者危险源：</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洪灾、□泥石流、□含氡土壤、□风切变、□抗震不利地段(如地震断裂带、易液化土、人工填土等)、□电磁辐射（如电视广播发射塔、雷达站、通信发射台、变电站、高压电线等）、□火、爆、有毒物质等（如油库、煤气站、有毒物质车间等）、□以上皆无</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简要说明避免以上威胁或危险源的措施：</w:t>
            </w:r>
          </w:p>
        </w:tc>
        <w:tc>
          <w:tcPr>
            <w:tcW w:w="1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389" w:hRule="atLeast"/>
          <w:jc w:val="center"/>
        </w:trPr>
        <w:tc>
          <w:tcPr>
            <w:tcW w:w="3067" w:type="dxa"/>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3、场地内不应有排放超标的污染源。</w:t>
            </w:r>
          </w:p>
        </w:tc>
        <w:tc>
          <w:tcPr>
            <w:tcW w:w="16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w:t>
            </w:r>
          </w:p>
        </w:tc>
        <w:tc>
          <w:tcPr>
            <w:tcW w:w="5730" w:type="dxa"/>
            <w:shd w:val="clear" w:color="auto" w:fill="auto"/>
            <w:vAlign w:val="top"/>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场地内有以下建筑或设施：</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□运动和营业场所、□餐饮厨房、□锅炉房、□垃圾运转站、□其他易产生烟、气、尘、噪声的建筑或设施（请填写）、□以上皆无</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如有，是否超标排放：□是、□否</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如有以上建筑或设施，简要说明避免排放超标的控制措施：</w:t>
            </w:r>
          </w:p>
        </w:tc>
        <w:tc>
          <w:tcPr>
            <w:tcW w:w="1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70" w:hRule="atLeast"/>
          <w:jc w:val="center"/>
        </w:trPr>
        <w:tc>
          <w:tcPr>
            <w:tcW w:w="3067" w:type="dxa"/>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w:t>
            </w:r>
            <w:r>
              <w:rPr>
                <w:rStyle w:val="6"/>
                <w:rFonts w:eastAsia="宋体"/>
                <w:lang w:val="en-US" w:eastAsia="zh-CN" w:bidi="ar"/>
              </w:rPr>
              <w:t>建筑设计应符合国家及辽宁省现行相关建筑节能设计标准中强制性条文的规定。</w:t>
            </w:r>
          </w:p>
        </w:tc>
        <w:tc>
          <w:tcPr>
            <w:tcW w:w="16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w:t>
            </w:r>
          </w:p>
        </w:tc>
        <w:tc>
          <w:tcPr>
            <w:tcW w:w="573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□是、□否</w:t>
            </w:r>
          </w:p>
        </w:tc>
        <w:tc>
          <w:tcPr>
            <w:tcW w:w="1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35" w:hRule="atLeast"/>
          <w:jc w:val="center"/>
        </w:trPr>
        <w:tc>
          <w:tcPr>
            <w:tcW w:w="3067" w:type="dxa"/>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5、不得采用国家、辽宁省和沈阳市禁止和限制使用的建筑材料及制品。</w:t>
            </w:r>
          </w:p>
        </w:tc>
        <w:tc>
          <w:tcPr>
            <w:tcW w:w="16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w:t>
            </w:r>
          </w:p>
        </w:tc>
        <w:tc>
          <w:tcPr>
            <w:tcW w:w="573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□是、□否</w:t>
            </w:r>
          </w:p>
        </w:tc>
        <w:tc>
          <w:tcPr>
            <w:tcW w:w="1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70" w:hRule="atLeast"/>
          <w:jc w:val="center"/>
        </w:trPr>
        <w:tc>
          <w:tcPr>
            <w:tcW w:w="3067" w:type="dxa"/>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6、建筑造型要素应简约，且无大量装饰性构件。</w:t>
            </w:r>
          </w:p>
        </w:tc>
        <w:tc>
          <w:tcPr>
            <w:tcW w:w="16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w:t>
            </w:r>
          </w:p>
        </w:tc>
        <w:tc>
          <w:tcPr>
            <w:tcW w:w="573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本项目是否使用了装饰性构件：□是、□否</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装饰性构件的造价是否低于总造价的百分之二：□是、□否</w:t>
            </w:r>
          </w:p>
        </w:tc>
        <w:tc>
          <w:tcPr>
            <w:tcW w:w="1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40" w:hRule="atLeast"/>
          <w:jc w:val="center"/>
        </w:trPr>
        <w:tc>
          <w:tcPr>
            <w:tcW w:w="3067" w:type="dxa"/>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7、主要功能房间的室内噪声级应满足现行国家标准《民用建筑隔声设计规范》GB 50118中的低限要求。</w:t>
            </w:r>
          </w:p>
        </w:tc>
        <w:tc>
          <w:tcPr>
            <w:tcW w:w="16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w:t>
            </w:r>
          </w:p>
        </w:tc>
        <w:tc>
          <w:tcPr>
            <w:tcW w:w="573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主要功能房间的室内噪声级应满足现行国家标准《民用建筑隔声设计规范》GB 50118中的低限要求，□是、□否</w:t>
            </w:r>
          </w:p>
        </w:tc>
        <w:tc>
          <w:tcPr>
            <w:tcW w:w="1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05" w:hRule="atLeast"/>
          <w:jc w:val="center"/>
        </w:trPr>
        <w:tc>
          <w:tcPr>
            <w:tcW w:w="3067" w:type="dxa"/>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8、主要功能房间的外墙、隔墙、楼板和门窗的隔声性能应满足现行国家标准《民用建筑隔声设计规范》GB 50118中的低限要求。</w:t>
            </w:r>
          </w:p>
        </w:tc>
        <w:tc>
          <w:tcPr>
            <w:tcW w:w="16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w:t>
            </w:r>
          </w:p>
        </w:tc>
        <w:tc>
          <w:tcPr>
            <w:tcW w:w="573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主要功能房间的外墙、隔墙、楼板和门窗的隔声性能满足现行国家标准《民用建筑隔声设计规范》GB50118中的低限要求：□是、□否</w:t>
            </w:r>
          </w:p>
        </w:tc>
        <w:tc>
          <w:tcPr>
            <w:tcW w:w="1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30" w:hRule="atLeast"/>
          <w:jc w:val="center"/>
        </w:trPr>
        <w:tc>
          <w:tcPr>
            <w:tcW w:w="3067" w:type="dxa"/>
            <w:vMerge w:val="restart"/>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条文</w:t>
            </w:r>
          </w:p>
        </w:tc>
        <w:tc>
          <w:tcPr>
            <w:tcW w:w="1680" w:type="dxa"/>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自评达标情况</w:t>
            </w:r>
          </w:p>
        </w:tc>
        <w:tc>
          <w:tcPr>
            <w:tcW w:w="5730" w:type="dxa"/>
            <w:vMerge w:val="restart"/>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自评材料</w:t>
            </w:r>
          </w:p>
        </w:tc>
        <w:tc>
          <w:tcPr>
            <w:tcW w:w="1800" w:type="dxa"/>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审查评定意见</w:t>
            </w:r>
          </w:p>
        </w:tc>
        <w:tc>
          <w:tcPr>
            <w:tcW w:w="945"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5" w:hRule="atLeast"/>
          <w:jc w:val="center"/>
        </w:trPr>
        <w:tc>
          <w:tcPr>
            <w:tcW w:w="3067" w:type="dxa"/>
            <w:vMerge w:val="continue"/>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680" w:type="dxa"/>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□满足</w:t>
            </w:r>
          </w:p>
        </w:tc>
        <w:tc>
          <w:tcPr>
            <w:tcW w:w="5730" w:type="dxa"/>
            <w:vMerge w:val="continue"/>
            <w:shd w:val="clear" w:color="auto" w:fill="auto"/>
            <w:textDirection w:val="lrTb"/>
            <w:vAlign w:val="top"/>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800" w:type="dxa"/>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□满足/□不满足</w:t>
            </w:r>
          </w:p>
        </w:tc>
        <w:tc>
          <w:tcPr>
            <w:tcW w:w="945"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50" w:hRule="atLeast"/>
          <w:jc w:val="center"/>
        </w:trPr>
        <w:tc>
          <w:tcPr>
            <w:tcW w:w="3067" w:type="dxa"/>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9、在室内设计温、湿度条件下，建筑围护结构内表面不得结露。</w:t>
            </w:r>
          </w:p>
        </w:tc>
        <w:tc>
          <w:tcPr>
            <w:tcW w:w="16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w:t>
            </w:r>
          </w:p>
        </w:tc>
        <w:tc>
          <w:tcPr>
            <w:tcW w:w="573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□是、□否</w:t>
            </w:r>
          </w:p>
        </w:tc>
        <w:tc>
          <w:tcPr>
            <w:tcW w:w="1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17" w:hRule="atLeast"/>
          <w:jc w:val="center"/>
        </w:trPr>
        <w:tc>
          <w:tcPr>
            <w:tcW w:w="3067"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结构专业</w:t>
            </w:r>
          </w:p>
        </w:tc>
        <w:tc>
          <w:tcPr>
            <w:tcW w:w="1680" w:type="dxa"/>
            <w:shd w:val="clear" w:color="auto" w:fill="auto"/>
            <w:vAlign w:val="center"/>
          </w:tcPr>
          <w:p>
            <w:pPr>
              <w:jc w:val="center"/>
              <w:rPr>
                <w:rFonts w:hint="default" w:ascii="Calibri" w:hAnsi="Calibri" w:eastAsia="宋体" w:cs="Calibri"/>
                <w:i w:val="0"/>
                <w:color w:val="000000"/>
                <w:sz w:val="21"/>
                <w:szCs w:val="21"/>
                <w:u w:val="single"/>
              </w:rPr>
            </w:pPr>
          </w:p>
        </w:tc>
        <w:tc>
          <w:tcPr>
            <w:tcW w:w="5730" w:type="dxa"/>
            <w:shd w:val="clear" w:color="auto" w:fill="auto"/>
            <w:vAlign w:val="center"/>
          </w:tcPr>
          <w:p>
            <w:pPr>
              <w:jc w:val="both"/>
              <w:rPr>
                <w:rFonts w:hint="default" w:ascii="Calibri" w:hAnsi="Calibri" w:eastAsia="宋体" w:cs="Calibri"/>
                <w:i w:val="0"/>
                <w:color w:val="000000"/>
                <w:sz w:val="21"/>
                <w:szCs w:val="21"/>
                <w:u w:val="none"/>
              </w:rPr>
            </w:pPr>
          </w:p>
        </w:tc>
        <w:tc>
          <w:tcPr>
            <w:tcW w:w="1800" w:type="dxa"/>
            <w:shd w:val="clear" w:color="auto" w:fill="auto"/>
            <w:vAlign w:val="center"/>
          </w:tcPr>
          <w:p>
            <w:pPr>
              <w:jc w:val="center"/>
              <w:rPr>
                <w:rFonts w:hint="default" w:ascii="Calibri" w:hAnsi="Calibri" w:eastAsia="宋体" w:cs="Calibri"/>
                <w:i w:val="0"/>
                <w:color w:val="000000"/>
                <w:sz w:val="21"/>
                <w:szCs w:val="21"/>
                <w:u w:val="single"/>
              </w:rPr>
            </w:pPr>
          </w:p>
        </w:tc>
        <w:tc>
          <w:tcPr>
            <w:tcW w:w="945" w:type="dxa"/>
            <w:shd w:val="clear" w:color="auto" w:fill="auto"/>
            <w:vAlign w:val="center"/>
          </w:tcPr>
          <w:p>
            <w:pPr>
              <w:jc w:val="center"/>
              <w:rPr>
                <w:rFonts w:hint="default" w:ascii="Calibri" w:hAnsi="Calibri" w:eastAsia="宋体" w:cs="Calibri"/>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70" w:hRule="atLeast"/>
          <w:jc w:val="center"/>
        </w:trPr>
        <w:tc>
          <w:tcPr>
            <w:tcW w:w="3067" w:type="dxa"/>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1、不得采用国家、辽宁省和沈阳市禁止和限制使用的建筑材料及制品。</w:t>
            </w:r>
          </w:p>
        </w:tc>
        <w:tc>
          <w:tcPr>
            <w:tcW w:w="16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r>
              <w:rPr>
                <w:rStyle w:val="7"/>
                <w:lang w:val="en-US" w:eastAsia="zh-CN" w:bidi="ar"/>
              </w:rPr>
              <w:t>满足</w:t>
            </w:r>
          </w:p>
        </w:tc>
        <w:tc>
          <w:tcPr>
            <w:tcW w:w="573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□是、□否</w:t>
            </w:r>
          </w:p>
        </w:tc>
        <w:tc>
          <w:tcPr>
            <w:tcW w:w="1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06" w:hRule="atLeast"/>
          <w:jc w:val="center"/>
        </w:trPr>
        <w:tc>
          <w:tcPr>
            <w:tcW w:w="3067" w:type="dxa"/>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2、混凝土结构中梁、柱纵向受力普通钢筋应采用不低于400MPa级的热轧带肋钢筋。</w:t>
            </w:r>
          </w:p>
        </w:tc>
        <w:tc>
          <w:tcPr>
            <w:tcW w:w="16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r>
              <w:rPr>
                <w:rStyle w:val="7"/>
                <w:lang w:val="en-US" w:eastAsia="zh-CN" w:bidi="ar"/>
              </w:rPr>
              <w:t>满足</w:t>
            </w:r>
          </w:p>
        </w:tc>
        <w:tc>
          <w:tcPr>
            <w:tcW w:w="573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混凝土梁纵向受力普通钢筋全部采用不低于400MPa级的热轧带肋钢筋：</w:t>
            </w:r>
            <w:r>
              <w:rPr>
                <w:rStyle w:val="7"/>
                <w:lang w:val="en-US" w:eastAsia="zh-CN" w:bidi="ar"/>
              </w:rPr>
              <w:t>□是、□否</w:t>
            </w:r>
          </w:p>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混凝土柱纵向受力普通钢筋全部采用不低于400MPa级的热轧带肋钢筋：</w:t>
            </w:r>
            <w:r>
              <w:rPr>
                <w:rStyle w:val="7"/>
                <w:lang w:val="en-US" w:eastAsia="zh-CN" w:bidi="ar"/>
              </w:rPr>
              <w:t>□是、□否</w:t>
            </w:r>
          </w:p>
        </w:tc>
        <w:tc>
          <w:tcPr>
            <w:tcW w:w="1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80" w:hRule="atLeast"/>
          <w:jc w:val="center"/>
        </w:trPr>
        <w:tc>
          <w:tcPr>
            <w:tcW w:w="3067"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给排水专业</w:t>
            </w:r>
          </w:p>
        </w:tc>
        <w:tc>
          <w:tcPr>
            <w:tcW w:w="1680" w:type="dxa"/>
            <w:shd w:val="clear" w:color="auto" w:fill="auto"/>
            <w:vAlign w:val="center"/>
          </w:tcPr>
          <w:p>
            <w:pPr>
              <w:jc w:val="center"/>
              <w:rPr>
                <w:rFonts w:hint="default" w:ascii="Calibri" w:hAnsi="Calibri" w:eastAsia="宋体" w:cs="Calibri"/>
                <w:i w:val="0"/>
                <w:color w:val="000000"/>
                <w:sz w:val="21"/>
                <w:szCs w:val="21"/>
                <w:u w:val="single"/>
              </w:rPr>
            </w:pPr>
          </w:p>
        </w:tc>
        <w:tc>
          <w:tcPr>
            <w:tcW w:w="5730" w:type="dxa"/>
            <w:shd w:val="clear" w:color="auto" w:fill="auto"/>
            <w:vAlign w:val="top"/>
          </w:tcPr>
          <w:p>
            <w:pPr>
              <w:jc w:val="both"/>
              <w:rPr>
                <w:rFonts w:hint="default" w:ascii="Calibri" w:hAnsi="Calibri" w:eastAsia="宋体" w:cs="Calibri"/>
                <w:i w:val="0"/>
                <w:color w:val="000000"/>
                <w:sz w:val="21"/>
                <w:szCs w:val="21"/>
                <w:u w:val="none"/>
              </w:rPr>
            </w:pPr>
          </w:p>
        </w:tc>
        <w:tc>
          <w:tcPr>
            <w:tcW w:w="1800" w:type="dxa"/>
            <w:shd w:val="clear" w:color="auto" w:fill="auto"/>
            <w:vAlign w:val="center"/>
          </w:tcPr>
          <w:p>
            <w:pPr>
              <w:jc w:val="center"/>
              <w:rPr>
                <w:rFonts w:hint="default" w:ascii="Calibri" w:hAnsi="Calibri" w:eastAsia="宋体" w:cs="Calibri"/>
                <w:i w:val="0"/>
                <w:color w:val="000000"/>
                <w:sz w:val="21"/>
                <w:szCs w:val="21"/>
                <w:u w:val="single"/>
              </w:rPr>
            </w:pPr>
          </w:p>
        </w:tc>
        <w:tc>
          <w:tcPr>
            <w:tcW w:w="945" w:type="dxa"/>
            <w:shd w:val="clear" w:color="auto" w:fill="auto"/>
            <w:vAlign w:val="center"/>
          </w:tcPr>
          <w:p>
            <w:pPr>
              <w:jc w:val="center"/>
              <w:rPr>
                <w:rFonts w:hint="default" w:ascii="Calibri" w:hAnsi="Calibri" w:eastAsia="宋体" w:cs="Calibri"/>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295" w:hRule="atLeast"/>
          <w:jc w:val="center"/>
        </w:trPr>
        <w:tc>
          <w:tcPr>
            <w:tcW w:w="3067" w:type="dxa"/>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1、应制定水资源利用方案，统筹利用各种水资源。</w:t>
            </w:r>
          </w:p>
        </w:tc>
        <w:tc>
          <w:tcPr>
            <w:tcW w:w="16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r>
              <w:rPr>
                <w:rStyle w:val="7"/>
                <w:lang w:val="en-US" w:eastAsia="zh-CN" w:bidi="ar"/>
              </w:rPr>
              <w:t>满足</w:t>
            </w:r>
          </w:p>
        </w:tc>
        <w:tc>
          <w:tcPr>
            <w:tcW w:w="5730" w:type="dxa"/>
            <w:shd w:val="clear" w:color="auto" w:fill="auto"/>
            <w:vAlign w:val="top"/>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简要说明水系统规划设计方案，包括用水定额的确定、用水量估算及水量平衡、给排水系统设计方案、节水器具和设备的选用、非传统水源利用、用水分项计量等：</w:t>
            </w:r>
          </w:p>
        </w:tc>
        <w:tc>
          <w:tcPr>
            <w:tcW w:w="1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给排水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890" w:hRule="atLeast"/>
          <w:jc w:val="center"/>
        </w:trPr>
        <w:tc>
          <w:tcPr>
            <w:tcW w:w="3067" w:type="dxa"/>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2、给排水系统设置应合理、完善、安全。</w:t>
            </w:r>
          </w:p>
        </w:tc>
        <w:tc>
          <w:tcPr>
            <w:tcW w:w="16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r>
              <w:rPr>
                <w:rStyle w:val="7"/>
                <w:lang w:val="en-US" w:eastAsia="zh-CN" w:bidi="ar"/>
              </w:rPr>
              <w:t>满足</w:t>
            </w:r>
          </w:p>
        </w:tc>
        <w:tc>
          <w:tcPr>
            <w:tcW w:w="573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给排水系统的规划设计符合相关标准的规定</w:t>
            </w:r>
            <w:r>
              <w:rPr>
                <w:rStyle w:val="7"/>
                <w:lang w:val="en-US" w:eastAsia="zh-CN" w:bidi="ar"/>
              </w:rPr>
              <w:t>：□是、□否</w:t>
            </w:r>
          </w:p>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供水充分利用用市政压力，加压系统选用节能高效的设备：□是、□否</w:t>
            </w:r>
          </w:p>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给水系统分区合理，每区供水压力不大于0.</w:t>
            </w:r>
            <w:r>
              <w:rPr>
                <w:rStyle w:val="7"/>
                <w:lang w:val="en-US" w:eastAsia="zh-CN" w:bidi="ar"/>
              </w:rPr>
              <w:t>35MPa：□是、□否</w:t>
            </w:r>
          </w:p>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合理采取减压限流的节水措施</w:t>
            </w:r>
            <w:r>
              <w:rPr>
                <w:rStyle w:val="7"/>
                <w:lang w:val="en-US" w:eastAsia="zh-CN" w:bidi="ar"/>
              </w:rPr>
              <w:t>：□是、□否</w:t>
            </w:r>
          </w:p>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给水水质达到国家、行业或地方标准的要求</w:t>
            </w:r>
            <w:r>
              <w:rPr>
                <w:rStyle w:val="7"/>
                <w:lang w:val="en-US" w:eastAsia="zh-CN" w:bidi="ar"/>
              </w:rPr>
              <w:t>：□是、□否</w:t>
            </w:r>
          </w:p>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使用非传统水源时，采取用水安全保障措施</w:t>
            </w:r>
            <w:r>
              <w:rPr>
                <w:rStyle w:val="7"/>
                <w:lang w:val="en-US" w:eastAsia="zh-CN" w:bidi="ar"/>
              </w:rPr>
              <w:t>：□是、□否</w:t>
            </w:r>
          </w:p>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各类不同水质要求的给水管线有明显的管道标识</w:t>
            </w:r>
            <w:r>
              <w:rPr>
                <w:rStyle w:val="7"/>
                <w:lang w:val="en-US" w:eastAsia="zh-CN" w:bidi="ar"/>
              </w:rPr>
              <w:t>：□是、□否</w:t>
            </w:r>
          </w:p>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设置完善的污水收集、处理和排放等设施：□是、□否</w:t>
            </w:r>
          </w:p>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如周边有雨水排水系统，室外排水应雨、污分流，□是、□否</w:t>
            </w:r>
          </w:p>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采取有效措施避免管道、阀门和设备的漏水、渗水或结露：□是、□否</w:t>
            </w:r>
          </w:p>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有热水使用需求时，热水系统设置合理：□是、□否</w:t>
            </w:r>
          </w:p>
        </w:tc>
        <w:tc>
          <w:tcPr>
            <w:tcW w:w="1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给排水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88" w:hRule="atLeast"/>
          <w:jc w:val="center"/>
        </w:trPr>
        <w:tc>
          <w:tcPr>
            <w:tcW w:w="3067" w:type="dxa"/>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3、应采用节水器具。卫生器具和设备满足《节水型生活用水器具》CJ/T164及《节水型产品通用技术条件》GB/T18870的要求。</w:t>
            </w:r>
          </w:p>
        </w:tc>
        <w:tc>
          <w:tcPr>
            <w:tcW w:w="16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w:t>
            </w:r>
          </w:p>
        </w:tc>
        <w:tc>
          <w:tcPr>
            <w:tcW w:w="573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主要器具类型有：</w:t>
            </w:r>
            <w:r>
              <w:rPr>
                <w:rStyle w:val="7"/>
                <w:lang w:val="en-US" w:eastAsia="zh-CN" w:bidi="ar"/>
              </w:rPr>
              <w:t>□龙头、□大便器、□小便器、□淋浴器、□其他</w:t>
            </w:r>
          </w:p>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采用节水器具：□是、□否</w:t>
            </w:r>
          </w:p>
        </w:tc>
        <w:tc>
          <w:tcPr>
            <w:tcW w:w="1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给排水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90" w:hRule="atLeast"/>
          <w:jc w:val="center"/>
        </w:trPr>
        <w:tc>
          <w:tcPr>
            <w:tcW w:w="3067" w:type="dxa"/>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4、场地内不应有排放超标的污染源。</w:t>
            </w:r>
          </w:p>
        </w:tc>
        <w:tc>
          <w:tcPr>
            <w:tcW w:w="16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w:t>
            </w:r>
          </w:p>
        </w:tc>
        <w:tc>
          <w:tcPr>
            <w:tcW w:w="573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污废水排放满足市政及环保要求，</w:t>
            </w:r>
            <w:r>
              <w:rPr>
                <w:rStyle w:val="7"/>
                <w:lang w:val="en-US" w:eastAsia="zh-CN" w:bidi="ar"/>
              </w:rPr>
              <w:t>□是、□否</w:t>
            </w:r>
          </w:p>
        </w:tc>
        <w:tc>
          <w:tcPr>
            <w:tcW w:w="1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给排水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57" w:hRule="atLeast"/>
          <w:jc w:val="center"/>
        </w:trPr>
        <w:tc>
          <w:tcPr>
            <w:tcW w:w="3067"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暖通专业</w:t>
            </w:r>
          </w:p>
        </w:tc>
        <w:tc>
          <w:tcPr>
            <w:tcW w:w="1680" w:type="dxa"/>
            <w:shd w:val="clear" w:color="auto" w:fill="auto"/>
            <w:vAlign w:val="center"/>
          </w:tcPr>
          <w:p>
            <w:pPr>
              <w:jc w:val="center"/>
              <w:rPr>
                <w:rFonts w:hint="default" w:ascii="Calibri" w:hAnsi="Calibri" w:eastAsia="宋体" w:cs="Calibri"/>
                <w:i w:val="0"/>
                <w:color w:val="000000"/>
                <w:sz w:val="21"/>
                <w:szCs w:val="21"/>
                <w:u w:val="single"/>
              </w:rPr>
            </w:pPr>
          </w:p>
        </w:tc>
        <w:tc>
          <w:tcPr>
            <w:tcW w:w="5730" w:type="dxa"/>
            <w:shd w:val="clear" w:color="auto" w:fill="auto"/>
            <w:vAlign w:val="center"/>
          </w:tcPr>
          <w:p>
            <w:pPr>
              <w:jc w:val="both"/>
              <w:rPr>
                <w:rFonts w:hint="default" w:ascii="Calibri" w:hAnsi="Calibri" w:eastAsia="宋体" w:cs="Calibri"/>
                <w:i w:val="0"/>
                <w:color w:val="000000"/>
                <w:sz w:val="21"/>
                <w:szCs w:val="21"/>
                <w:u w:val="none"/>
              </w:rPr>
            </w:pPr>
          </w:p>
        </w:tc>
        <w:tc>
          <w:tcPr>
            <w:tcW w:w="1800" w:type="dxa"/>
            <w:shd w:val="clear" w:color="auto" w:fill="auto"/>
            <w:vAlign w:val="center"/>
          </w:tcPr>
          <w:p>
            <w:pPr>
              <w:jc w:val="center"/>
              <w:rPr>
                <w:rFonts w:hint="default" w:ascii="Calibri" w:hAnsi="Calibri" w:eastAsia="宋体" w:cs="Calibri"/>
                <w:i w:val="0"/>
                <w:color w:val="000000"/>
                <w:sz w:val="21"/>
                <w:szCs w:val="21"/>
                <w:u w:val="single"/>
              </w:rPr>
            </w:pPr>
          </w:p>
        </w:tc>
        <w:tc>
          <w:tcPr>
            <w:tcW w:w="945" w:type="dxa"/>
            <w:shd w:val="clear" w:color="auto" w:fill="auto"/>
            <w:vAlign w:val="center"/>
          </w:tcPr>
          <w:p>
            <w:pPr>
              <w:jc w:val="center"/>
              <w:rPr>
                <w:rFonts w:hint="default" w:ascii="Calibri" w:hAnsi="Calibri" w:eastAsia="宋体" w:cs="Calibri"/>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90" w:hRule="atLeast"/>
          <w:jc w:val="center"/>
        </w:trPr>
        <w:tc>
          <w:tcPr>
            <w:tcW w:w="3067" w:type="dxa"/>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1、场地内不应有排放超标的污染源。</w:t>
            </w:r>
          </w:p>
        </w:tc>
        <w:tc>
          <w:tcPr>
            <w:tcW w:w="16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w:t>
            </w:r>
          </w:p>
        </w:tc>
        <w:tc>
          <w:tcPr>
            <w:tcW w:w="573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是否有废气排放，</w:t>
            </w:r>
            <w:r>
              <w:rPr>
                <w:rStyle w:val="7"/>
                <w:lang w:val="en-US" w:eastAsia="zh-CN" w:bidi="ar"/>
              </w:rPr>
              <w:t>□是、□否</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废气达标排放，</w:t>
            </w:r>
            <w:r>
              <w:rPr>
                <w:rStyle w:val="7"/>
                <w:lang w:val="en-US" w:eastAsia="zh-CN" w:bidi="ar"/>
              </w:rPr>
              <w:t>□是、□否</w:t>
            </w:r>
          </w:p>
        </w:tc>
        <w:tc>
          <w:tcPr>
            <w:tcW w:w="1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暖通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20" w:hRule="atLeast"/>
          <w:jc w:val="center"/>
        </w:trPr>
        <w:tc>
          <w:tcPr>
            <w:tcW w:w="3067" w:type="dxa"/>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w:t>
            </w:r>
            <w:r>
              <w:rPr>
                <w:rStyle w:val="6"/>
                <w:rFonts w:eastAsia="宋体"/>
                <w:lang w:val="en-US" w:eastAsia="zh-CN" w:bidi="ar"/>
              </w:rPr>
              <w:t>建筑设计应符合国家及辽宁省现行相关建筑节能设计标准中强制性条文的规定。</w:t>
            </w:r>
          </w:p>
        </w:tc>
        <w:tc>
          <w:tcPr>
            <w:tcW w:w="16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w:t>
            </w:r>
          </w:p>
        </w:tc>
        <w:tc>
          <w:tcPr>
            <w:tcW w:w="573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□是、□否</w:t>
            </w:r>
          </w:p>
        </w:tc>
        <w:tc>
          <w:tcPr>
            <w:tcW w:w="1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暖通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jc w:val="center"/>
        </w:trPr>
        <w:tc>
          <w:tcPr>
            <w:tcW w:w="3067" w:type="dxa"/>
            <w:vMerge w:val="restart"/>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条文</w:t>
            </w:r>
          </w:p>
        </w:tc>
        <w:tc>
          <w:tcPr>
            <w:tcW w:w="1680" w:type="dxa"/>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自评达标情况</w:t>
            </w:r>
          </w:p>
        </w:tc>
        <w:tc>
          <w:tcPr>
            <w:tcW w:w="5730" w:type="dxa"/>
            <w:vMerge w:val="restart"/>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自评材料</w:t>
            </w:r>
          </w:p>
        </w:tc>
        <w:tc>
          <w:tcPr>
            <w:tcW w:w="1800" w:type="dxa"/>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审查评定意见</w:t>
            </w:r>
          </w:p>
        </w:tc>
        <w:tc>
          <w:tcPr>
            <w:tcW w:w="945"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55" w:hRule="atLeast"/>
          <w:jc w:val="center"/>
        </w:trPr>
        <w:tc>
          <w:tcPr>
            <w:tcW w:w="3067" w:type="dxa"/>
            <w:vMerge w:val="continue"/>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p>
        </w:tc>
        <w:tc>
          <w:tcPr>
            <w:tcW w:w="1680" w:type="dxa"/>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□满足</w:t>
            </w:r>
          </w:p>
        </w:tc>
        <w:tc>
          <w:tcPr>
            <w:tcW w:w="5730" w:type="dxa"/>
            <w:vMerge w:val="continue"/>
            <w:shd w:val="clear" w:color="auto" w:fill="auto"/>
            <w:textDirection w:val="lrTb"/>
            <w:vAlign w:val="top"/>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800" w:type="dxa"/>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□满足/□不满足</w:t>
            </w:r>
          </w:p>
        </w:tc>
        <w:tc>
          <w:tcPr>
            <w:tcW w:w="945"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559" w:hRule="atLeast"/>
          <w:jc w:val="center"/>
        </w:trPr>
        <w:tc>
          <w:tcPr>
            <w:tcW w:w="3067" w:type="dxa"/>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3、除特殊情况外，不应采用电直接加热设备作为供暖空调系统的供暖热源和空气加湿热源。</w:t>
            </w:r>
          </w:p>
        </w:tc>
        <w:tc>
          <w:tcPr>
            <w:tcW w:w="16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r>
              <w:rPr>
                <w:rStyle w:val="7"/>
                <w:lang w:val="en-US" w:eastAsia="zh-CN" w:bidi="ar"/>
              </w:rPr>
              <w:t>满足</w:t>
            </w:r>
          </w:p>
        </w:tc>
        <w:tc>
          <w:tcPr>
            <w:tcW w:w="5730" w:type="dxa"/>
            <w:shd w:val="clear" w:color="auto" w:fill="auto"/>
            <w:vAlign w:val="top"/>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供暖空调系统的热源：是否采用电直接加热设备：□是、□否</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空气加湿热源：是否采用电直接加热设备：□是、□否</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特殊情况下</w:t>
            </w:r>
            <w:r>
              <w:rPr>
                <w:rStyle w:val="7"/>
                <w:lang w:val="en-US" w:eastAsia="zh-CN" w:bidi="ar"/>
              </w:rPr>
              <w:t>采用电直接加热设备原因：</w:t>
            </w:r>
          </w:p>
        </w:tc>
        <w:tc>
          <w:tcPr>
            <w:tcW w:w="1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暖通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95" w:hRule="atLeast"/>
          <w:jc w:val="center"/>
        </w:trPr>
        <w:tc>
          <w:tcPr>
            <w:tcW w:w="3067" w:type="dxa"/>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4、主要功能房间的室内噪声级应满足现行国家标准《民用建筑隔声设计规范》GB 50118中的低限要求。</w:t>
            </w:r>
          </w:p>
        </w:tc>
        <w:tc>
          <w:tcPr>
            <w:tcW w:w="16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w:t>
            </w:r>
          </w:p>
        </w:tc>
        <w:tc>
          <w:tcPr>
            <w:tcW w:w="573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风机、水泵等有较大振动和噪声的设备采用消声减振措施，□是、□否</w:t>
            </w:r>
          </w:p>
        </w:tc>
        <w:tc>
          <w:tcPr>
            <w:tcW w:w="1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暖通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70" w:hRule="atLeast"/>
          <w:jc w:val="center"/>
        </w:trPr>
        <w:tc>
          <w:tcPr>
            <w:tcW w:w="3067" w:type="dxa"/>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5、采用集中供暖空调系统的建筑，房间内的温度、湿度、新风量等设计参数应符合现行国家标准《民用建筑供暖通风与空气调节设计规范》GB 50736的规定。</w:t>
            </w:r>
          </w:p>
        </w:tc>
        <w:tc>
          <w:tcPr>
            <w:tcW w:w="16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w:t>
            </w:r>
          </w:p>
        </w:tc>
        <w:tc>
          <w:tcPr>
            <w:tcW w:w="573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□是、□否</w:t>
            </w:r>
          </w:p>
        </w:tc>
        <w:tc>
          <w:tcPr>
            <w:tcW w:w="1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暖通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52" w:hRule="atLeast"/>
          <w:jc w:val="center"/>
        </w:trPr>
        <w:tc>
          <w:tcPr>
            <w:tcW w:w="3067"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电气专业</w:t>
            </w:r>
          </w:p>
        </w:tc>
        <w:tc>
          <w:tcPr>
            <w:tcW w:w="1680" w:type="dxa"/>
            <w:shd w:val="clear" w:color="auto" w:fill="auto"/>
            <w:vAlign w:val="center"/>
          </w:tcPr>
          <w:p>
            <w:pPr>
              <w:jc w:val="center"/>
              <w:rPr>
                <w:rFonts w:hint="eastAsia" w:ascii="宋体" w:hAnsi="宋体" w:eastAsia="宋体" w:cs="宋体"/>
                <w:i w:val="0"/>
                <w:color w:val="000000"/>
                <w:sz w:val="21"/>
                <w:szCs w:val="21"/>
                <w:u w:val="none"/>
              </w:rPr>
            </w:pPr>
          </w:p>
        </w:tc>
        <w:tc>
          <w:tcPr>
            <w:tcW w:w="5730" w:type="dxa"/>
            <w:shd w:val="clear" w:color="auto" w:fill="auto"/>
            <w:vAlign w:val="center"/>
          </w:tcPr>
          <w:p>
            <w:pPr>
              <w:jc w:val="both"/>
              <w:rPr>
                <w:rFonts w:hint="default" w:ascii="Calibri" w:hAnsi="Calibri" w:eastAsia="宋体" w:cs="Calibri"/>
                <w:i w:val="0"/>
                <w:color w:val="000000"/>
                <w:sz w:val="21"/>
                <w:szCs w:val="21"/>
                <w:u w:val="none"/>
              </w:rPr>
            </w:pPr>
          </w:p>
        </w:tc>
        <w:tc>
          <w:tcPr>
            <w:tcW w:w="1800" w:type="dxa"/>
            <w:shd w:val="clear" w:color="auto" w:fill="auto"/>
            <w:vAlign w:val="center"/>
          </w:tcPr>
          <w:p>
            <w:pPr>
              <w:jc w:val="center"/>
              <w:rPr>
                <w:rFonts w:hint="eastAsia" w:ascii="宋体" w:hAnsi="宋体" w:eastAsia="宋体" w:cs="宋体"/>
                <w:i w:val="0"/>
                <w:color w:val="000000"/>
                <w:sz w:val="21"/>
                <w:szCs w:val="21"/>
                <w:u w:val="none"/>
              </w:rPr>
            </w:pPr>
          </w:p>
        </w:tc>
        <w:tc>
          <w:tcPr>
            <w:tcW w:w="945" w:type="dxa"/>
            <w:shd w:val="clear" w:color="auto" w:fill="auto"/>
            <w:vAlign w:val="center"/>
          </w:tcPr>
          <w:p>
            <w:pPr>
              <w:jc w:val="center"/>
              <w:rPr>
                <w:rFonts w:hint="default" w:ascii="Calibri" w:hAnsi="Calibri" w:eastAsia="宋体" w:cs="Calibri"/>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34" w:hRule="atLeast"/>
          <w:jc w:val="center"/>
        </w:trPr>
        <w:tc>
          <w:tcPr>
            <w:tcW w:w="3067" w:type="dxa"/>
            <w:vMerge w:val="restart"/>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1、各房间或场所的照明功率密度值不应高于现行国家标准《建筑照明设计标准》GB 50034中规定的现行值。</w:t>
            </w:r>
          </w:p>
        </w:tc>
        <w:tc>
          <w:tcPr>
            <w:tcW w:w="168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r>
              <w:rPr>
                <w:rStyle w:val="7"/>
                <w:lang w:val="en-US" w:eastAsia="zh-CN" w:bidi="ar"/>
              </w:rPr>
              <w:t>满足</w:t>
            </w:r>
          </w:p>
        </w:tc>
        <w:tc>
          <w:tcPr>
            <w:tcW w:w="5730"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□是、□否</w:t>
            </w:r>
          </w:p>
        </w:tc>
        <w:tc>
          <w:tcPr>
            <w:tcW w:w="180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45"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2" w:hRule="atLeast"/>
          <w:jc w:val="center"/>
        </w:trPr>
        <w:tc>
          <w:tcPr>
            <w:tcW w:w="3067" w:type="dxa"/>
            <w:vMerge w:val="continue"/>
            <w:shd w:val="clear" w:color="auto" w:fill="auto"/>
            <w:vAlign w:val="center"/>
          </w:tcPr>
          <w:p>
            <w:pPr>
              <w:jc w:val="both"/>
              <w:rPr>
                <w:rFonts w:hint="eastAsia" w:ascii="宋体" w:hAnsi="宋体" w:eastAsia="宋体" w:cs="宋体"/>
                <w:b/>
                <w:i w:val="0"/>
                <w:color w:val="000000"/>
                <w:sz w:val="21"/>
                <w:szCs w:val="21"/>
                <w:u w:val="none"/>
              </w:rPr>
            </w:pPr>
          </w:p>
        </w:tc>
        <w:tc>
          <w:tcPr>
            <w:tcW w:w="1680" w:type="dxa"/>
            <w:vMerge w:val="continue"/>
            <w:shd w:val="clear" w:color="auto" w:fill="auto"/>
            <w:vAlign w:val="center"/>
          </w:tcPr>
          <w:p>
            <w:pPr>
              <w:jc w:val="center"/>
              <w:rPr>
                <w:rFonts w:hint="eastAsia" w:ascii="宋体" w:hAnsi="宋体" w:eastAsia="宋体" w:cs="宋体"/>
                <w:i w:val="0"/>
                <w:color w:val="000000"/>
                <w:sz w:val="21"/>
                <w:szCs w:val="21"/>
                <w:u w:val="none"/>
              </w:rPr>
            </w:pPr>
          </w:p>
        </w:tc>
        <w:tc>
          <w:tcPr>
            <w:tcW w:w="5730" w:type="dxa"/>
            <w:vMerge w:val="continue"/>
            <w:shd w:val="clear" w:color="auto" w:fill="auto"/>
            <w:vAlign w:val="center"/>
          </w:tcPr>
          <w:p>
            <w:pPr>
              <w:jc w:val="left"/>
              <w:rPr>
                <w:rFonts w:hint="eastAsia" w:ascii="宋体" w:hAnsi="宋体" w:eastAsia="宋体" w:cs="宋体"/>
                <w:i w:val="0"/>
                <w:color w:val="000000"/>
                <w:sz w:val="21"/>
                <w:szCs w:val="21"/>
                <w:u w:val="none"/>
              </w:rPr>
            </w:pPr>
          </w:p>
        </w:tc>
        <w:tc>
          <w:tcPr>
            <w:tcW w:w="1800" w:type="dxa"/>
            <w:vMerge w:val="continue"/>
            <w:shd w:val="clear" w:color="auto" w:fill="auto"/>
            <w:vAlign w:val="center"/>
          </w:tcPr>
          <w:p>
            <w:pPr>
              <w:jc w:val="center"/>
              <w:rPr>
                <w:rFonts w:hint="eastAsia" w:ascii="宋体" w:hAnsi="宋体" w:eastAsia="宋体" w:cs="宋体"/>
                <w:i w:val="0"/>
                <w:color w:val="000000"/>
                <w:sz w:val="21"/>
                <w:szCs w:val="21"/>
                <w:u w:val="none"/>
              </w:rPr>
            </w:pPr>
          </w:p>
        </w:tc>
        <w:tc>
          <w:tcPr>
            <w:tcW w:w="945" w:type="dxa"/>
            <w:vMerge w:val="continue"/>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80" w:hRule="atLeast"/>
          <w:jc w:val="center"/>
        </w:trPr>
        <w:tc>
          <w:tcPr>
            <w:tcW w:w="3067" w:type="dxa"/>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2、建筑照明数量和质量应符合现行国家标准《建筑照明设计标准》GB 50034的规定。</w:t>
            </w:r>
          </w:p>
        </w:tc>
        <w:tc>
          <w:tcPr>
            <w:tcW w:w="16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w:t>
            </w:r>
          </w:p>
        </w:tc>
        <w:tc>
          <w:tcPr>
            <w:tcW w:w="573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□是、□否</w:t>
            </w:r>
          </w:p>
        </w:tc>
        <w:tc>
          <w:tcPr>
            <w:tcW w:w="1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□满足/□不满足</w:t>
            </w:r>
          </w:p>
        </w:tc>
        <w:tc>
          <w:tcPr>
            <w:tcW w:w="9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电气</w:t>
            </w:r>
          </w:p>
        </w:tc>
      </w:tr>
    </w:tbl>
    <w:p>
      <w:pPr>
        <w:adjustRightInd w:val="0"/>
        <w:snapToGrid w:val="0"/>
        <w:rPr>
          <w:rFonts w:hint="eastAsia"/>
          <w:szCs w:val="21"/>
        </w:rPr>
      </w:pPr>
    </w:p>
    <w:p>
      <w:pPr>
        <w:adjustRightInd w:val="0"/>
        <w:snapToGrid w:val="0"/>
        <w:rPr>
          <w:szCs w:val="21"/>
        </w:rPr>
      </w:pPr>
      <w:bookmarkStart w:id="0" w:name="_GoBack"/>
      <w:bookmarkEnd w:id="0"/>
      <w:r>
        <w:rPr>
          <w:rFonts w:hint="eastAsia"/>
          <w:szCs w:val="21"/>
        </w:rPr>
        <w:t>注：控制项均需满足。</w:t>
      </w:r>
    </w:p>
    <w:p>
      <w:pPr>
        <w:ind w:left="8400" w:leftChars="4000"/>
        <w:rPr>
          <w:szCs w:val="21"/>
        </w:rPr>
      </w:pPr>
    </w:p>
    <w:p>
      <w:pPr>
        <w:ind w:left="8400" w:leftChars="4000"/>
        <w:rPr>
          <w:szCs w:val="21"/>
        </w:rPr>
      </w:pPr>
    </w:p>
    <w:p>
      <w:pPr>
        <w:ind w:left="8400" w:leftChars="4000"/>
        <w:rPr>
          <w:szCs w:val="21"/>
        </w:rPr>
      </w:pPr>
    </w:p>
    <w:p>
      <w:pPr>
        <w:ind w:left="8400" w:leftChars="4000"/>
        <w:rPr>
          <w:szCs w:val="21"/>
        </w:rPr>
      </w:pPr>
      <w:r>
        <w:rPr>
          <w:rFonts w:hint="eastAsia"/>
          <w:szCs w:val="21"/>
        </w:rPr>
        <w:t>编制：  　      　校对：          　审核：  　  　 　</w:t>
      </w:r>
    </w:p>
    <w:p>
      <w:pPr>
        <w:ind w:left="8400" w:leftChars="4000"/>
        <w:rPr>
          <w:szCs w:val="21"/>
        </w:rPr>
      </w:pPr>
    </w:p>
    <w:p>
      <w:pPr>
        <w:ind w:left="8400" w:leftChars="4000"/>
        <w:rPr>
          <w:szCs w:val="21"/>
        </w:rPr>
      </w:pPr>
    </w:p>
    <w:p>
      <w:pPr>
        <w:ind w:left="8400" w:leftChars="4000"/>
        <w:rPr>
          <w:szCs w:val="21"/>
        </w:rPr>
      </w:pPr>
    </w:p>
    <w:p>
      <w:pPr>
        <w:ind w:left="8400" w:leftChars="4000"/>
        <w:rPr>
          <w:szCs w:val="21"/>
        </w:rPr>
      </w:pPr>
      <w:r>
        <w:rPr>
          <w:rFonts w:hint="eastAsia"/>
          <w:szCs w:val="21"/>
        </w:rPr>
        <w:t xml:space="preserve">单位（盖章）：  </w:t>
      </w:r>
    </w:p>
    <w:p>
      <w:pPr>
        <w:ind w:left="8400" w:leftChars="4000"/>
        <w:rPr>
          <w:szCs w:val="21"/>
        </w:rPr>
      </w:pPr>
    </w:p>
    <w:p>
      <w:pPr>
        <w:ind w:left="8400" w:leftChars="4000"/>
        <w:rPr>
          <w:szCs w:val="21"/>
        </w:rPr>
      </w:pPr>
    </w:p>
    <w:p>
      <w:pPr>
        <w:ind w:left="8400" w:leftChars="4000"/>
        <w:rPr>
          <w:szCs w:val="21"/>
        </w:rPr>
      </w:pPr>
    </w:p>
    <w:p>
      <w:pPr>
        <w:ind w:left="8400" w:leftChars="4000"/>
      </w:pPr>
      <w:r>
        <w:rPr>
          <w:rFonts w:hint="eastAsia"/>
          <w:szCs w:val="21"/>
        </w:rPr>
        <w:t xml:space="preserve">日期：        年      月       日                    </w:t>
      </w:r>
    </w:p>
    <w:p>
      <w:pPr/>
    </w:p>
    <w:sectPr>
      <w:headerReference r:id="rId3" w:type="default"/>
      <w:footerReference r:id="rId4" w:type="default"/>
      <w:pgSz w:w="16783" w:h="23757"/>
      <w:pgMar w:top="1440" w:right="1800" w:bottom="1440" w:left="1800" w:header="851" w:footer="992" w:gutter="0"/>
      <w:pgNumType w:fmt="decimal" w:start="1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093763"/>
    <w:rsid w:val="3B093763"/>
    <w:rsid w:val="3FB83A0E"/>
    <w:rsid w:val="6B1A503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41"/>
    <w:basedOn w:val="4"/>
    <w:qFormat/>
    <w:uiPriority w:val="0"/>
    <w:rPr>
      <w:rFonts w:hint="default" w:ascii="Calibri" w:hAnsi="Calibri" w:cs="Calibri"/>
      <w:b/>
      <w:color w:val="000000"/>
      <w:sz w:val="21"/>
      <w:szCs w:val="21"/>
      <w:u w:val="none"/>
    </w:rPr>
  </w:style>
  <w:style w:type="character" w:customStyle="1" w:styleId="7">
    <w:name w:val="font11"/>
    <w:basedOn w:val="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2016-06-12T08:51:00Z</dcterms:created>
  <dc:creator>jnbjnyk</dc:creator>
  <cp:lastModifiedBy>jnbjnyk</cp:lastModifiedBy>
  <cp:lastPrinted>2016-06-13T01:56:00Z</cp:lastPrinted>
  <dcterms:modified xsi:type="dcterms:W3CDTF">2016-06-13T03:07:15Z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